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2CF2" w14:textId="77777777" w:rsidR="009F4300" w:rsidRPr="00451EE9" w:rsidRDefault="009F4300" w:rsidP="003F1716">
      <w:pPr>
        <w:spacing w:line="276" w:lineRule="auto"/>
        <w:contextualSpacing/>
        <w:jc w:val="right"/>
        <w:rPr>
          <w:rFonts w:asciiTheme="majorHAnsi" w:hAnsiTheme="majorHAnsi" w:cstheme="minorHAnsi"/>
          <w:iCs/>
          <w:sz w:val="22"/>
          <w:szCs w:val="22"/>
        </w:rPr>
      </w:pPr>
    </w:p>
    <w:p w14:paraId="6C5B87A1" w14:textId="77777777" w:rsidR="00F81F49" w:rsidRPr="00F81F49" w:rsidRDefault="00F81F49" w:rsidP="00F81F49">
      <w:pPr>
        <w:pBdr>
          <w:bottom w:val="single" w:sz="12" w:space="1" w:color="auto"/>
        </w:pBdr>
        <w:rPr>
          <w:rFonts w:asciiTheme="majorHAnsi" w:hAnsiTheme="majorHAnsi" w:cs="Times New Roman"/>
          <w:b/>
          <w:color w:val="auto"/>
          <w:sz w:val="28"/>
          <w:szCs w:val="18"/>
          <w:lang w:val="lv-LV"/>
        </w:rPr>
      </w:pPr>
      <w:r w:rsidRPr="00F81F49">
        <w:rPr>
          <w:rFonts w:asciiTheme="majorHAnsi" w:hAnsiTheme="majorHAnsi"/>
          <w:b/>
          <w:sz w:val="28"/>
          <w:szCs w:val="18"/>
          <w:lang w:val="lv-LV"/>
        </w:rPr>
        <w:t>INFORMACJA PRASOWA</w:t>
      </w:r>
    </w:p>
    <w:p w14:paraId="0E6F23D4" w14:textId="47C69194" w:rsidR="00F81F49" w:rsidRPr="00F81F49" w:rsidRDefault="00DE754A" w:rsidP="00F81F49">
      <w:pPr>
        <w:rPr>
          <w:rFonts w:asciiTheme="majorHAnsi" w:hAnsiTheme="majorHAnsi"/>
          <w:sz w:val="18"/>
          <w:szCs w:val="18"/>
          <w:lang w:val="lv-LV"/>
        </w:rPr>
      </w:pPr>
      <w:r>
        <w:rPr>
          <w:rFonts w:asciiTheme="majorHAnsi" w:hAnsiTheme="majorHAnsi"/>
          <w:sz w:val="18"/>
          <w:szCs w:val="18"/>
          <w:lang w:val="lv-LV"/>
        </w:rPr>
        <w:t>Warszawa</w:t>
      </w:r>
      <w:r w:rsidR="00F81F49" w:rsidRPr="00F81F49">
        <w:rPr>
          <w:rFonts w:asciiTheme="majorHAnsi" w:hAnsiTheme="majorHAnsi"/>
          <w:sz w:val="18"/>
          <w:szCs w:val="18"/>
          <w:lang w:val="lv-LV"/>
        </w:rPr>
        <w:t xml:space="preserve">, </w:t>
      </w:r>
      <w:r>
        <w:rPr>
          <w:rFonts w:asciiTheme="majorHAnsi" w:hAnsiTheme="majorHAnsi"/>
          <w:sz w:val="18"/>
          <w:szCs w:val="18"/>
          <w:lang w:val="lv-LV"/>
        </w:rPr>
        <w:t xml:space="preserve">4 listopada </w:t>
      </w:r>
      <w:r w:rsidR="00F81F49" w:rsidRPr="00F81F49">
        <w:rPr>
          <w:rFonts w:asciiTheme="majorHAnsi" w:hAnsiTheme="majorHAnsi"/>
          <w:sz w:val="18"/>
          <w:szCs w:val="18"/>
          <w:lang w:val="lv-LV"/>
        </w:rPr>
        <w:t xml:space="preserve">2021 roku </w:t>
      </w:r>
    </w:p>
    <w:p w14:paraId="1C9D3C76" w14:textId="77777777" w:rsidR="00370CAA" w:rsidRDefault="00370CAA" w:rsidP="00BF0038">
      <w:pPr>
        <w:spacing w:after="120"/>
        <w:jc w:val="both"/>
        <w:rPr>
          <w:rFonts w:asciiTheme="majorHAnsi" w:hAnsiTheme="majorHAnsi"/>
          <w:b/>
          <w:color w:val="2F5496"/>
          <w:sz w:val="26"/>
          <w:szCs w:val="26"/>
        </w:rPr>
      </w:pPr>
    </w:p>
    <w:p w14:paraId="620088D3" w14:textId="77777777" w:rsidR="00EA349A" w:rsidRPr="00DE754A" w:rsidRDefault="00EA349A" w:rsidP="00735E52">
      <w:pPr>
        <w:spacing w:before="100" w:beforeAutospacing="1" w:after="100" w:afterAutospacing="1"/>
        <w:jc w:val="both"/>
        <w:rPr>
          <w:rFonts w:asciiTheme="majorHAnsi" w:hAnsiTheme="majorHAnsi" w:cstheme="minorHAnsi"/>
          <w:b/>
          <w:bCs/>
          <w:sz w:val="26"/>
          <w:szCs w:val="26"/>
        </w:rPr>
      </w:pPr>
    </w:p>
    <w:p w14:paraId="2A6825B6" w14:textId="77777777" w:rsidR="00DE754A" w:rsidRPr="00DE754A" w:rsidRDefault="00DE754A" w:rsidP="00DE754A">
      <w:pPr>
        <w:jc w:val="both"/>
        <w:rPr>
          <w:rFonts w:asciiTheme="majorHAnsi" w:hAnsiTheme="majorHAnsi"/>
          <w:b/>
          <w:bCs/>
          <w:sz w:val="26"/>
          <w:szCs w:val="26"/>
        </w:rPr>
      </w:pPr>
      <w:bookmarkStart w:id="0" w:name="_Hlk86329639"/>
      <w:r w:rsidRPr="00DE754A">
        <w:rPr>
          <w:rFonts w:asciiTheme="majorHAnsi" w:hAnsiTheme="majorHAnsi"/>
          <w:b/>
          <w:bCs/>
          <w:sz w:val="26"/>
          <w:szCs w:val="26"/>
        </w:rPr>
        <w:t xml:space="preserve">Ryzyko nadużyć w sektorze finansowym jest wciąż podwyższone, a jego poziom powoli się stabilizuje </w:t>
      </w:r>
    </w:p>
    <w:p w14:paraId="787B7FF2" w14:textId="77777777" w:rsidR="00DE754A" w:rsidRPr="00DE754A" w:rsidRDefault="00DE754A" w:rsidP="00DE754A">
      <w:pPr>
        <w:jc w:val="both"/>
        <w:rPr>
          <w:rFonts w:asciiTheme="majorHAnsi" w:hAnsiTheme="majorHAnsi"/>
        </w:rPr>
      </w:pPr>
    </w:p>
    <w:p w14:paraId="34E85609" w14:textId="4A83AB02" w:rsidR="00DE754A" w:rsidRPr="00DE754A" w:rsidRDefault="00DE754A" w:rsidP="00DE754A">
      <w:pPr>
        <w:jc w:val="both"/>
        <w:rPr>
          <w:rFonts w:asciiTheme="majorHAnsi" w:hAnsiTheme="majorHAnsi"/>
        </w:rPr>
      </w:pPr>
      <w:r w:rsidRPr="00DE754A">
        <w:rPr>
          <w:rFonts w:asciiTheme="majorHAnsi" w:hAnsiTheme="majorHAnsi"/>
          <w:b/>
          <w:bCs/>
        </w:rPr>
        <w:t>Zdaniem 57% respondentów, ryzyko nieprawidłowości w instytucjach finansowych nie zmieniło się w porównaniu do okresu przed pandemią. Zmieniły się wyzwania stojące przed sektorem - 38% badanych uważa, że teraz trudniej im dochodzić roszczenia. Zwiększona ostrożność spowodowała, że 75% respondentów zaostrzyło zasady udzielania finansowania – wynika z</w:t>
      </w:r>
      <w:r w:rsidRPr="00DE754A">
        <w:rPr>
          <w:rFonts w:asciiTheme="majorHAnsi" w:hAnsiTheme="majorHAnsi"/>
        </w:rPr>
        <w:t xml:space="preserve"> </w:t>
      </w:r>
      <w:r w:rsidRPr="00DE754A">
        <w:rPr>
          <w:rFonts w:asciiTheme="majorHAnsi" w:hAnsiTheme="majorHAnsi" w:cstheme="minorHAnsi"/>
          <w:b/>
          <w:bCs/>
        </w:rPr>
        <w:t xml:space="preserve">najnowszego raportu </w:t>
      </w:r>
      <w:r w:rsidRPr="00DE754A">
        <w:rPr>
          <w:rFonts w:asciiTheme="majorHAnsi" w:hAnsiTheme="majorHAnsi"/>
          <w:b/>
          <w:bCs/>
          <w:i/>
          <w:iCs/>
        </w:rPr>
        <w:t>Nadużycia w sektorze finansowym</w:t>
      </w:r>
      <w:r w:rsidRPr="00DE754A">
        <w:rPr>
          <w:rFonts w:asciiTheme="majorHAnsi" w:hAnsiTheme="majorHAnsi" w:cstheme="minorHAnsi"/>
          <w:b/>
          <w:bCs/>
        </w:rPr>
        <w:t xml:space="preserve"> opracowanego przez Związek Przedsiębiorstw Finansowych i</w:t>
      </w:r>
      <w:r>
        <w:rPr>
          <w:rFonts w:asciiTheme="majorHAnsi" w:hAnsiTheme="majorHAnsi" w:cstheme="minorHAnsi"/>
          <w:b/>
          <w:bCs/>
        </w:rPr>
        <w:t> </w:t>
      </w:r>
      <w:r w:rsidRPr="00DE754A">
        <w:rPr>
          <w:rFonts w:asciiTheme="majorHAnsi" w:hAnsiTheme="majorHAnsi" w:cstheme="minorHAnsi"/>
          <w:b/>
          <w:bCs/>
        </w:rPr>
        <w:t>firmę EY.</w:t>
      </w:r>
      <w:r w:rsidRPr="00DE754A">
        <w:rPr>
          <w:rFonts w:asciiTheme="majorHAnsi" w:hAnsiTheme="majorHAnsi"/>
        </w:rPr>
        <w:t xml:space="preserve"> </w:t>
      </w:r>
    </w:p>
    <w:bookmarkEnd w:id="0"/>
    <w:p w14:paraId="50395921" w14:textId="77777777" w:rsidR="00DE754A" w:rsidRPr="00DE754A" w:rsidRDefault="00DE754A" w:rsidP="00DE754A">
      <w:pPr>
        <w:jc w:val="both"/>
        <w:rPr>
          <w:rFonts w:asciiTheme="majorHAnsi" w:hAnsiTheme="majorHAnsi"/>
          <w:b/>
          <w:bCs/>
        </w:rPr>
      </w:pPr>
    </w:p>
    <w:p w14:paraId="431D3A3A" w14:textId="3844566D" w:rsidR="00DE754A" w:rsidRPr="00DE754A" w:rsidRDefault="00DE754A" w:rsidP="00DE754A">
      <w:pPr>
        <w:jc w:val="both"/>
        <w:rPr>
          <w:rFonts w:asciiTheme="majorHAnsi" w:hAnsiTheme="majorHAnsi"/>
        </w:rPr>
      </w:pPr>
      <w:r w:rsidRPr="00DE754A">
        <w:rPr>
          <w:rFonts w:asciiTheme="majorHAnsi" w:hAnsiTheme="majorHAnsi"/>
        </w:rPr>
        <w:t xml:space="preserve">Powoli opada kurz po rewolucji wywołanej pandemią koronawirusa i biznes wraca do „nowej normalności”. Po blisko dwóch latach zmagania się ze skutkami COVID-19, instytucje finansowe mają dużo większe doświadczenie w prowadzeniu biznesu w warunkach podwyższonego, pandemicznego ryzyka – wynika z </w:t>
      </w:r>
      <w:r>
        <w:rPr>
          <w:rFonts w:asciiTheme="majorHAnsi" w:hAnsiTheme="majorHAnsi"/>
        </w:rPr>
        <w:t> </w:t>
      </w:r>
      <w:r w:rsidRPr="00DE754A">
        <w:rPr>
          <w:rFonts w:asciiTheme="majorHAnsi" w:hAnsiTheme="majorHAnsi"/>
        </w:rPr>
        <w:t xml:space="preserve">raportu </w:t>
      </w:r>
      <w:r w:rsidRPr="00DE754A">
        <w:rPr>
          <w:rFonts w:asciiTheme="majorHAnsi" w:hAnsiTheme="majorHAnsi"/>
          <w:i/>
          <w:iCs/>
        </w:rPr>
        <w:t>Nadużycia w sektorze finansowym</w:t>
      </w:r>
      <w:r w:rsidRPr="00DE754A">
        <w:rPr>
          <w:rFonts w:asciiTheme="majorHAnsi" w:hAnsiTheme="majorHAnsi"/>
        </w:rPr>
        <w:t xml:space="preserve"> </w:t>
      </w:r>
      <w:r w:rsidRPr="00DE754A">
        <w:rPr>
          <w:rFonts w:asciiTheme="majorHAnsi" w:hAnsiTheme="majorHAnsi"/>
          <w:shd w:val="clear" w:color="auto" w:fill="FFFFFF"/>
        </w:rPr>
        <w:t>przygotowanego</w:t>
      </w:r>
      <w:r w:rsidRPr="00DE754A">
        <w:rPr>
          <w:rFonts w:asciiTheme="majorHAnsi" w:hAnsiTheme="majorHAnsi"/>
        </w:rPr>
        <w:t xml:space="preserve"> przez </w:t>
      </w:r>
      <w:r w:rsidRPr="00DE754A">
        <w:rPr>
          <w:rFonts w:asciiTheme="majorHAnsi" w:hAnsiTheme="majorHAnsi" w:cstheme="minorHAnsi"/>
        </w:rPr>
        <w:t>Związek Przedsiębiorstw Finansowych (</w:t>
      </w:r>
      <w:r w:rsidRPr="00DE754A">
        <w:rPr>
          <w:rFonts w:asciiTheme="majorHAnsi" w:hAnsiTheme="majorHAnsi"/>
        </w:rPr>
        <w:t xml:space="preserve">ZPF) i EY. </w:t>
      </w:r>
    </w:p>
    <w:p w14:paraId="534FAAD8" w14:textId="77777777" w:rsidR="00DE754A" w:rsidRPr="00DE754A" w:rsidRDefault="00DE754A" w:rsidP="00DE754A">
      <w:pPr>
        <w:jc w:val="both"/>
        <w:rPr>
          <w:rFonts w:asciiTheme="majorHAnsi" w:hAnsiTheme="majorHAnsi"/>
          <w:b/>
          <w:bCs/>
          <w:shd w:val="clear" w:color="auto" w:fill="FFFFFF"/>
        </w:rPr>
      </w:pPr>
    </w:p>
    <w:p w14:paraId="325A1043" w14:textId="30B46040" w:rsidR="00DE754A" w:rsidRPr="00DE754A" w:rsidRDefault="00DE754A" w:rsidP="00DE754A">
      <w:pPr>
        <w:jc w:val="both"/>
        <w:rPr>
          <w:rFonts w:asciiTheme="majorHAnsi" w:hAnsiTheme="majorHAnsi"/>
        </w:rPr>
      </w:pPr>
      <w:r w:rsidRPr="00DE754A">
        <w:rPr>
          <w:rFonts w:asciiTheme="majorHAnsi" w:hAnsiTheme="majorHAnsi"/>
        </w:rPr>
        <w:t xml:space="preserve">Dla 57% respondentów ryzyko nieprawidłowości nie zmieniło się w porównaniu do okresu przed pandemią, wskaźnik ten jest o 16 pkt proc. wyższy niż w poprzedniej edycji badania. 37% respondentów uważa, że ryzyko wzrosło (o 5 pkt. proc. mniej niż w 2020 r.), a 6% - że zmalało (spadek z 17% w 2020 r.). Widać z tych danych, że – zdaniem instytucji finansowych - ryzyko nadużyć powoli się stabilizuje, a </w:t>
      </w:r>
      <w:r>
        <w:rPr>
          <w:rFonts w:asciiTheme="majorHAnsi" w:hAnsiTheme="majorHAnsi"/>
        </w:rPr>
        <w:t> </w:t>
      </w:r>
      <w:r w:rsidRPr="00DE754A">
        <w:rPr>
          <w:rFonts w:asciiTheme="majorHAnsi" w:hAnsiTheme="majorHAnsi"/>
        </w:rPr>
        <w:t xml:space="preserve">instytucje są bardziej wyczulone na nowe schematy nadużyć i bardziej świadome zagrożeń.  </w:t>
      </w:r>
    </w:p>
    <w:p w14:paraId="442EB47B" w14:textId="77777777" w:rsidR="00DE754A" w:rsidRPr="00DE754A" w:rsidRDefault="00DE754A" w:rsidP="00DE754A">
      <w:pPr>
        <w:jc w:val="both"/>
        <w:rPr>
          <w:rFonts w:asciiTheme="majorHAnsi" w:hAnsiTheme="majorHAnsi"/>
        </w:rPr>
      </w:pPr>
    </w:p>
    <w:p w14:paraId="4ECE99DD" w14:textId="77777777" w:rsidR="00DE754A" w:rsidRPr="00DE754A" w:rsidRDefault="00DE754A" w:rsidP="00DE754A">
      <w:pPr>
        <w:jc w:val="center"/>
        <w:rPr>
          <w:rFonts w:asciiTheme="majorHAnsi" w:hAnsiTheme="majorHAnsi"/>
        </w:rPr>
      </w:pPr>
      <w:r w:rsidRPr="00DE754A">
        <w:rPr>
          <w:rFonts w:asciiTheme="majorHAnsi" w:hAnsiTheme="majorHAnsi"/>
          <w:noProof/>
        </w:rPr>
        <w:drawing>
          <wp:inline distT="0" distB="0" distL="0" distR="0" wp14:anchorId="02FA0EF9" wp14:editId="4E1D2B51">
            <wp:extent cx="4693920" cy="264033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3920" cy="2640330"/>
                    </a:xfrm>
                    <a:prstGeom prst="rect">
                      <a:avLst/>
                    </a:prstGeom>
                  </pic:spPr>
                </pic:pic>
              </a:graphicData>
            </a:graphic>
          </wp:inline>
        </w:drawing>
      </w:r>
    </w:p>
    <w:p w14:paraId="66F1A28D" w14:textId="77777777" w:rsidR="00DE754A" w:rsidRPr="00DE754A" w:rsidRDefault="00DE754A" w:rsidP="00DE754A">
      <w:pPr>
        <w:jc w:val="both"/>
        <w:rPr>
          <w:rFonts w:asciiTheme="majorHAnsi" w:hAnsiTheme="majorHAnsi"/>
        </w:rPr>
      </w:pPr>
    </w:p>
    <w:p w14:paraId="5EF5F14F" w14:textId="77777777" w:rsidR="00DE754A" w:rsidRPr="00DE754A" w:rsidRDefault="00DE754A" w:rsidP="00DE754A">
      <w:pPr>
        <w:jc w:val="both"/>
        <w:rPr>
          <w:rFonts w:asciiTheme="majorHAnsi" w:hAnsiTheme="majorHAnsi"/>
        </w:rPr>
      </w:pPr>
      <w:r w:rsidRPr="00DE754A">
        <w:rPr>
          <w:rFonts w:asciiTheme="majorHAnsi" w:hAnsiTheme="majorHAnsi"/>
        </w:rPr>
        <w:t>Zapytaliśmy firmy o największe trudności w walce z nadużyciami spowodowane COVID-19. 38% badanych podało utrudnione dochodzenie roszczeń, kolejne 20% - utrudniony kontakt z klientem, a 13% - nowe schematy oszustw. Co ciekawe, 22% respondentów nie widzi wpływu COVID-19 na walkę z nadużyciami.</w:t>
      </w:r>
    </w:p>
    <w:p w14:paraId="1C3747BB" w14:textId="77777777" w:rsidR="00DE754A" w:rsidRPr="00DE754A" w:rsidRDefault="00DE754A" w:rsidP="00DE754A">
      <w:pPr>
        <w:jc w:val="both"/>
        <w:rPr>
          <w:rFonts w:asciiTheme="majorHAnsi" w:hAnsiTheme="majorHAnsi"/>
        </w:rPr>
      </w:pPr>
    </w:p>
    <w:p w14:paraId="0FC79738" w14:textId="6E0BBB19" w:rsidR="00DE754A" w:rsidRPr="00DE754A" w:rsidRDefault="00DE754A" w:rsidP="00DE754A">
      <w:pPr>
        <w:jc w:val="both"/>
        <w:rPr>
          <w:rStyle w:val="Pogrubienie"/>
          <w:rFonts w:asciiTheme="majorHAnsi" w:hAnsiTheme="majorHAnsi"/>
          <w:b w:val="0"/>
          <w:bCs w:val="0"/>
          <w:shd w:val="clear" w:color="auto" w:fill="FFFFFF"/>
        </w:rPr>
      </w:pPr>
      <w:r w:rsidRPr="00DE754A">
        <w:rPr>
          <w:rFonts w:asciiTheme="majorHAnsi" w:hAnsiTheme="majorHAnsi"/>
        </w:rPr>
        <w:t xml:space="preserve">- </w:t>
      </w:r>
      <w:r w:rsidRPr="00DE754A">
        <w:rPr>
          <w:rFonts w:asciiTheme="majorHAnsi" w:hAnsiTheme="majorHAnsi"/>
          <w:i/>
          <w:iCs/>
        </w:rPr>
        <w:t xml:space="preserve">W obliczu pandemii instytucje finansowe musiały się mierzyć z wieloma nowymi trudnościami w walce z </w:t>
      </w:r>
      <w:r>
        <w:rPr>
          <w:rFonts w:asciiTheme="majorHAnsi" w:hAnsiTheme="majorHAnsi"/>
          <w:i/>
          <w:iCs/>
        </w:rPr>
        <w:t> </w:t>
      </w:r>
      <w:r w:rsidRPr="00DE754A">
        <w:rPr>
          <w:rFonts w:asciiTheme="majorHAnsi" w:hAnsiTheme="majorHAnsi"/>
          <w:i/>
          <w:iCs/>
        </w:rPr>
        <w:t xml:space="preserve">nadużyciami. Najczęściej wskazywane w naszym badaniu utrudnione dochodzenie roszczeń jest naturalną konsekwencją zmiany sposobu funkcjonowania gospodarki, administracji państwowej i sądów. Nie zdumiewa także wskazanie, że to utrudniony kontakt z klientem był jednym z najważniejszych problemów, z którym </w:t>
      </w:r>
      <w:r w:rsidRPr="00DE754A">
        <w:rPr>
          <w:rFonts w:asciiTheme="majorHAnsi" w:hAnsiTheme="majorHAnsi"/>
          <w:i/>
          <w:iCs/>
        </w:rPr>
        <w:lastRenderedPageBreak/>
        <w:t>musiały się zmagać instytucje finansowe. Postępująca digitalizacja spowodowała wzrost nowych schematów oszustw. Cieszymy się, że aż 22% respondentów, co stanowi drugą najczęściej podawaną odpowiedź, nie widzi wpływu pandemii na trudności w walce z nadużyciami bo świadczy to o stabilności prowadzenia biznesu</w:t>
      </w:r>
      <w:r w:rsidRPr="00DE754A">
        <w:rPr>
          <w:rFonts w:asciiTheme="majorHAnsi" w:hAnsiTheme="majorHAnsi"/>
        </w:rPr>
        <w:t xml:space="preserve"> – </w:t>
      </w:r>
      <w:bookmarkStart w:id="1" w:name="_Hlk86325347"/>
      <w:r w:rsidRPr="00DE754A">
        <w:rPr>
          <w:rFonts w:asciiTheme="majorHAnsi" w:hAnsiTheme="majorHAnsi"/>
        </w:rPr>
        <w:t xml:space="preserve">mówi </w:t>
      </w:r>
      <w:hyperlink r:id="rId12" w:history="1">
        <w:r w:rsidRPr="00DE754A">
          <w:rPr>
            <w:rStyle w:val="Hipercze"/>
            <w:rFonts w:asciiTheme="majorHAnsi" w:hAnsiTheme="majorHAnsi"/>
            <w:color w:val="auto"/>
          </w:rPr>
          <w:t>Mariusz Witalis,</w:t>
        </w:r>
      </w:hyperlink>
      <w:r w:rsidRPr="00DE754A">
        <w:rPr>
          <w:rStyle w:val="Pogrubienie"/>
          <w:rFonts w:asciiTheme="majorHAnsi" w:hAnsiTheme="majorHAnsi"/>
          <w:shd w:val="clear" w:color="auto" w:fill="FFFFFF"/>
        </w:rPr>
        <w:t> Partner kierujący Działem </w:t>
      </w:r>
      <w:hyperlink r:id="rId13" w:history="1">
        <w:r w:rsidRPr="00DE754A">
          <w:rPr>
            <w:rStyle w:val="Hipercze"/>
            <w:rFonts w:asciiTheme="majorHAnsi" w:hAnsiTheme="majorHAnsi"/>
            <w:color w:val="auto"/>
          </w:rPr>
          <w:t>Zarządzania Ryzykiem Nadużyć</w:t>
        </w:r>
      </w:hyperlink>
      <w:r w:rsidRPr="00DE754A">
        <w:rPr>
          <w:rStyle w:val="Pogrubienie"/>
          <w:rFonts w:asciiTheme="majorHAnsi" w:hAnsiTheme="majorHAnsi"/>
          <w:shd w:val="clear" w:color="auto" w:fill="FFFFFF"/>
        </w:rPr>
        <w:t> EY, lider praktyki w</w:t>
      </w:r>
      <w:r>
        <w:rPr>
          <w:rStyle w:val="Pogrubienie"/>
          <w:rFonts w:asciiTheme="majorHAnsi" w:hAnsiTheme="majorHAnsi"/>
          <w:shd w:val="clear" w:color="auto" w:fill="FFFFFF"/>
        </w:rPr>
        <w:t> </w:t>
      </w:r>
      <w:r w:rsidRPr="00DE754A">
        <w:rPr>
          <w:rStyle w:val="Pogrubienie"/>
          <w:rFonts w:asciiTheme="majorHAnsi" w:hAnsiTheme="majorHAnsi"/>
          <w:shd w:val="clear" w:color="auto" w:fill="FFFFFF"/>
        </w:rPr>
        <w:t>Europie Centralnej i Środkowowschodniej</w:t>
      </w:r>
      <w:r w:rsidRPr="00DE754A">
        <w:rPr>
          <w:rStyle w:val="Pogrubienie"/>
          <w:rFonts w:asciiTheme="majorHAnsi" w:hAnsiTheme="majorHAnsi"/>
          <w:b w:val="0"/>
          <w:bCs w:val="0"/>
          <w:shd w:val="clear" w:color="auto" w:fill="FFFFFF"/>
        </w:rPr>
        <w:t>.</w:t>
      </w:r>
    </w:p>
    <w:p w14:paraId="7701015A" w14:textId="77777777" w:rsidR="00DE754A" w:rsidRPr="00DE754A" w:rsidRDefault="00DE754A" w:rsidP="00DE754A">
      <w:pPr>
        <w:jc w:val="both"/>
        <w:rPr>
          <w:rStyle w:val="Pogrubienie"/>
          <w:rFonts w:asciiTheme="majorHAnsi" w:hAnsiTheme="majorHAnsi"/>
          <w:shd w:val="clear" w:color="auto" w:fill="FFFFFF"/>
        </w:rPr>
      </w:pPr>
    </w:p>
    <w:bookmarkEnd w:id="1"/>
    <w:p w14:paraId="7C9DDADE" w14:textId="77777777" w:rsidR="00DE754A" w:rsidRPr="00DE754A" w:rsidRDefault="00DE754A" w:rsidP="00DE754A">
      <w:pPr>
        <w:jc w:val="both"/>
        <w:rPr>
          <w:rFonts w:asciiTheme="majorHAnsi" w:hAnsiTheme="majorHAnsi"/>
          <w:b/>
          <w:bCs/>
        </w:rPr>
      </w:pPr>
      <w:r w:rsidRPr="00DE754A">
        <w:rPr>
          <w:rFonts w:asciiTheme="majorHAnsi" w:hAnsiTheme="majorHAnsi"/>
          <w:b/>
          <w:bCs/>
        </w:rPr>
        <w:t>Apetyt na ryzyko? Nie w czasach pandemii</w:t>
      </w:r>
    </w:p>
    <w:p w14:paraId="4EE27C8B" w14:textId="77777777" w:rsidR="00DE754A" w:rsidRPr="00DE754A" w:rsidRDefault="00DE754A" w:rsidP="00DE754A">
      <w:pPr>
        <w:jc w:val="both"/>
        <w:rPr>
          <w:rFonts w:asciiTheme="majorHAnsi" w:hAnsiTheme="majorHAnsi"/>
          <w:b/>
          <w:bCs/>
        </w:rPr>
      </w:pPr>
    </w:p>
    <w:p w14:paraId="61D0D11D" w14:textId="77777777" w:rsidR="00DE754A" w:rsidRPr="00DE754A" w:rsidRDefault="00DE754A" w:rsidP="00DE754A">
      <w:pPr>
        <w:jc w:val="both"/>
        <w:rPr>
          <w:rFonts w:asciiTheme="majorHAnsi" w:hAnsiTheme="majorHAnsi"/>
        </w:rPr>
      </w:pPr>
      <w:r w:rsidRPr="00DE754A">
        <w:rPr>
          <w:rFonts w:asciiTheme="majorHAnsi" w:hAnsiTheme="majorHAnsi"/>
        </w:rPr>
        <w:t xml:space="preserve">Nasze badanie potwierdza, że pandemia wpłynęła na zmniejszenie apetytu na ryzyko instytucji finansowych. Jednym z efektów tego zjawiska jest zwiększenie ostrożności instytucji pożyczkowych, banków i firm leasingowych w finansowaniu klientów, nowych i obecnych. 75% respondentów uważa, że zwiększeniu uległa restrykcyjność udzielania finansowania nowym i obecnym klientom. Nasi respondenci deklarują, że zwiększyli także liczbę i zakres kontroli klientów. </w:t>
      </w:r>
    </w:p>
    <w:p w14:paraId="22F31F9A" w14:textId="77777777" w:rsidR="00DE754A" w:rsidRPr="00DE754A" w:rsidRDefault="00DE754A" w:rsidP="00DE754A">
      <w:pPr>
        <w:spacing w:before="100" w:beforeAutospacing="1" w:after="100" w:afterAutospacing="1"/>
        <w:jc w:val="both"/>
        <w:rPr>
          <w:rFonts w:asciiTheme="majorHAnsi" w:hAnsiTheme="majorHAnsi"/>
          <w:b/>
          <w:bCs/>
        </w:rPr>
      </w:pPr>
      <w:r w:rsidRPr="00DE754A">
        <w:rPr>
          <w:rFonts w:asciiTheme="majorHAnsi" w:hAnsiTheme="majorHAnsi"/>
          <w:b/>
          <w:bCs/>
        </w:rPr>
        <w:t>Pracownik – najcenniejsze źródło informacji o nieprawidłowościach</w:t>
      </w:r>
    </w:p>
    <w:p w14:paraId="64101728" w14:textId="77777777" w:rsidR="00DE754A" w:rsidRPr="00DE754A" w:rsidRDefault="00DE754A" w:rsidP="00DE754A">
      <w:pPr>
        <w:spacing w:before="100" w:beforeAutospacing="1" w:after="100" w:afterAutospacing="1"/>
        <w:jc w:val="both"/>
        <w:rPr>
          <w:rFonts w:asciiTheme="majorHAnsi" w:hAnsiTheme="majorHAnsi"/>
        </w:rPr>
      </w:pPr>
      <w:r w:rsidRPr="00DE754A">
        <w:rPr>
          <w:rFonts w:asciiTheme="majorHAnsi" w:hAnsiTheme="majorHAnsi"/>
        </w:rPr>
        <w:t>W przeddzień wprowadzenia w Polsce unijnej dyrektywy o ochronie sygnalistów</w:t>
      </w:r>
      <w:r w:rsidRPr="00DE754A">
        <w:rPr>
          <w:rStyle w:val="Odwoanieprzypisudolnego"/>
          <w:rFonts w:asciiTheme="majorHAnsi" w:hAnsiTheme="majorHAnsi"/>
        </w:rPr>
        <w:footnoteReference w:id="1"/>
      </w:r>
      <w:r w:rsidRPr="00DE754A">
        <w:rPr>
          <w:rFonts w:asciiTheme="majorHAnsi" w:hAnsiTheme="majorHAnsi"/>
        </w:rPr>
        <w:t xml:space="preserve">, która powinna objąć część instytucji finansowych w naszym kraju nawet już w drugiej połowie grudnia, sprawdziliśmy, w jaki sposób firmy dowiadują się o nieprawidłowościach. </w:t>
      </w:r>
    </w:p>
    <w:p w14:paraId="58554CEB" w14:textId="77777777" w:rsidR="00DE754A" w:rsidRPr="00DE754A" w:rsidRDefault="00DE754A" w:rsidP="00DE754A">
      <w:pPr>
        <w:jc w:val="both"/>
        <w:rPr>
          <w:rFonts w:asciiTheme="majorHAnsi" w:hAnsiTheme="majorHAnsi"/>
        </w:rPr>
      </w:pPr>
      <w:r w:rsidRPr="00DE754A">
        <w:rPr>
          <w:rFonts w:asciiTheme="majorHAnsi" w:hAnsiTheme="majorHAnsi"/>
        </w:rPr>
        <w:t>Zgodnie z oczekiwaniami, niemal połowa respondentów (47%) wskazała, że najczęstszym źródłem takich informacji są pracownicy instytucji finansowej. Najlepiej znają oni organizację i procesy w niej występujące, mają najgłębszą wiedzę na temat tego, gdzie dochodzi do nadużyć lub gdzie jest ryzyko ich powstawania. Wynik ten jest spójny z innymi badaniami na temat mechanizmu wykrywania nieprawidłowości w firmach. Fakt, że pracownicy stanowią najlepsze źródło wiedzy o nieprawidłowościach oraz to, że do niedawna nie mogli oni liczyć na żadną ochronę prawną przed ewentualnym odwetem ze strony pracodawcy lub innych zatrudnionych, skłonił organy europejskie do opracowania rozwiązań chroniących sygnalistów.</w:t>
      </w:r>
    </w:p>
    <w:p w14:paraId="5B74C915" w14:textId="02023F06" w:rsidR="00DE754A" w:rsidRPr="00DE754A" w:rsidRDefault="00DE754A" w:rsidP="00DE754A">
      <w:pPr>
        <w:jc w:val="both"/>
        <w:rPr>
          <w:rFonts w:asciiTheme="majorHAnsi" w:hAnsiTheme="majorHAnsi"/>
          <w:i/>
          <w:iCs/>
        </w:rPr>
      </w:pPr>
      <w:r w:rsidRPr="00DE754A">
        <w:rPr>
          <w:rFonts w:asciiTheme="majorHAnsi" w:hAnsiTheme="majorHAnsi"/>
        </w:rPr>
        <w:br/>
      </w:r>
      <w:r w:rsidRPr="00DE754A">
        <w:rPr>
          <w:rFonts w:asciiTheme="majorHAnsi" w:hAnsiTheme="majorHAnsi"/>
          <w:i/>
        </w:rPr>
        <w:t xml:space="preserve">- </w:t>
      </w:r>
      <w:r w:rsidRPr="00DE754A">
        <w:rPr>
          <w:rFonts w:asciiTheme="majorHAnsi" w:hAnsiTheme="majorHAnsi"/>
          <w:i/>
          <w:iCs/>
        </w:rPr>
        <w:t xml:space="preserve">W Polsce aktualnie procedujemy projekt ustawy o ochronie osób zgłaszających naruszenie prawa, który stanowi implementację Dyrektywy UE 2019/1937. </w:t>
      </w:r>
      <w:r w:rsidRPr="00DE754A">
        <w:rPr>
          <w:rFonts w:asciiTheme="majorHAnsi" w:hAnsiTheme="majorHAnsi"/>
          <w:i/>
        </w:rPr>
        <w:t>To ważny akt prawny, który wprowadzi instytucję „sygnalisty” na stałe do polskiego porządku prawnego. Prawo będzie chronić osoby zgłaszające naruszenia, a</w:t>
      </w:r>
      <w:r>
        <w:rPr>
          <w:rFonts w:asciiTheme="majorHAnsi" w:hAnsiTheme="majorHAnsi"/>
          <w:i/>
        </w:rPr>
        <w:t> </w:t>
      </w:r>
      <w:r w:rsidRPr="00DE754A">
        <w:rPr>
          <w:rFonts w:asciiTheme="majorHAnsi" w:hAnsiTheme="majorHAnsi"/>
          <w:i/>
        </w:rPr>
        <w:t xml:space="preserve">przedsiębiorcy będą zobowiązani do stworzenia wewnętrznych procedur przyjmowania i załatwiania takich zgłoszeń. Domniemam, że – po wejściu w życie tego aktu prawnego – zwiększy się jeszcze skala sygnalizacji naruszeń płynąca z wewnątrz firm, co zapewne zweryfikujemy już w kolejnych edycjach naszego badania – </w:t>
      </w:r>
      <w:r w:rsidRPr="00DE754A">
        <w:rPr>
          <w:rFonts w:asciiTheme="majorHAnsi" w:hAnsiTheme="majorHAnsi"/>
        </w:rPr>
        <w:t xml:space="preserve">mówi </w:t>
      </w:r>
      <w:r w:rsidRPr="00DE754A">
        <w:rPr>
          <w:rFonts w:asciiTheme="majorHAnsi" w:hAnsiTheme="majorHAnsi"/>
          <w:b/>
          <w:bCs/>
        </w:rPr>
        <w:t xml:space="preserve">Marcin Czugan, Prezes Zarządu ZPF. </w:t>
      </w:r>
      <w:r w:rsidRPr="00DE754A">
        <w:rPr>
          <w:rFonts w:asciiTheme="majorHAnsi" w:hAnsiTheme="majorHAnsi"/>
          <w:b/>
          <w:bCs/>
          <w:i/>
        </w:rPr>
        <w:t xml:space="preserve">  </w:t>
      </w:r>
    </w:p>
    <w:p w14:paraId="2A53122E" w14:textId="77777777" w:rsidR="00DE754A" w:rsidRPr="00DE754A" w:rsidRDefault="00DE754A" w:rsidP="00DE754A">
      <w:pPr>
        <w:jc w:val="both"/>
        <w:rPr>
          <w:rFonts w:asciiTheme="majorHAnsi" w:hAnsiTheme="majorHAnsi"/>
          <w:b/>
          <w:bCs/>
          <w:i/>
        </w:rPr>
      </w:pPr>
    </w:p>
    <w:p w14:paraId="4FED4999" w14:textId="77777777" w:rsidR="00DE754A" w:rsidRPr="00DE754A" w:rsidRDefault="00DE754A" w:rsidP="00DE754A">
      <w:pPr>
        <w:jc w:val="both"/>
        <w:rPr>
          <w:rFonts w:asciiTheme="majorHAnsi" w:hAnsiTheme="majorHAnsi"/>
          <w:b/>
          <w:bCs/>
        </w:rPr>
      </w:pPr>
      <w:r w:rsidRPr="00DE754A">
        <w:rPr>
          <w:rFonts w:asciiTheme="majorHAnsi" w:hAnsiTheme="majorHAnsi"/>
          <w:b/>
          <w:bCs/>
        </w:rPr>
        <w:t>Wyłudzenia największym zagrożeniem</w:t>
      </w:r>
    </w:p>
    <w:p w14:paraId="5D2D5915" w14:textId="77777777" w:rsidR="00DE754A" w:rsidRPr="00DE754A" w:rsidRDefault="00DE754A" w:rsidP="00DE754A">
      <w:pPr>
        <w:jc w:val="both"/>
        <w:rPr>
          <w:rFonts w:asciiTheme="majorHAnsi" w:hAnsiTheme="majorHAnsi"/>
        </w:rPr>
      </w:pPr>
    </w:p>
    <w:p w14:paraId="2FBF670D" w14:textId="303FAD37" w:rsidR="00DE754A" w:rsidRPr="00DE754A" w:rsidRDefault="00DE754A" w:rsidP="00DE754A">
      <w:pPr>
        <w:jc w:val="both"/>
        <w:rPr>
          <w:rFonts w:asciiTheme="majorHAnsi" w:hAnsiTheme="majorHAnsi"/>
        </w:rPr>
      </w:pPr>
      <w:r w:rsidRPr="00DE754A">
        <w:rPr>
          <w:rFonts w:asciiTheme="majorHAnsi" w:hAnsiTheme="majorHAnsi"/>
        </w:rPr>
        <w:t>Najczęściej zgłaszanymi przez sygnalistów typami nadużyć były wyłudzenia produktów kredytowych i</w:t>
      </w:r>
      <w:r>
        <w:rPr>
          <w:rFonts w:asciiTheme="majorHAnsi" w:hAnsiTheme="majorHAnsi"/>
        </w:rPr>
        <w:t> </w:t>
      </w:r>
      <w:r w:rsidRPr="00DE754A">
        <w:rPr>
          <w:rFonts w:asciiTheme="majorHAnsi" w:hAnsiTheme="majorHAnsi"/>
        </w:rPr>
        <w:t xml:space="preserve">pożyczek oraz nadużycia wewnętrzne - były one przedmiotem zgłoszenia w aż 43% przypadków. Ciekawe jest natomiast to, że w badaniu z 2020 r. tylko 4% respondentów wskazało na nadużycia wewnętrzne jako na przedmiot zgłoszenia – w tym roku zaś, aż 27%. W ocenie autorów badania tak zauważalny wzrost nie wynika jedynie z rzeczywistego wzrostu tego typu nadużyć w organizacjach, głównie wskazuje na zwiększenie się poziomu świadomości pracowników i ich zaufania do pracodawcy.  </w:t>
      </w:r>
    </w:p>
    <w:p w14:paraId="5CE13131" w14:textId="77777777" w:rsidR="00DE754A" w:rsidRPr="00DE754A" w:rsidRDefault="00DE754A" w:rsidP="00DE754A">
      <w:pPr>
        <w:jc w:val="both"/>
        <w:rPr>
          <w:rFonts w:asciiTheme="majorHAnsi" w:hAnsiTheme="majorHAnsi"/>
        </w:rPr>
      </w:pPr>
    </w:p>
    <w:p w14:paraId="46290BFA" w14:textId="77777777" w:rsidR="00DE754A" w:rsidRPr="00DE754A" w:rsidRDefault="00DE754A" w:rsidP="00DE754A">
      <w:pPr>
        <w:spacing w:after="160" w:line="259" w:lineRule="auto"/>
        <w:jc w:val="both"/>
        <w:rPr>
          <w:rFonts w:asciiTheme="majorHAnsi" w:hAnsiTheme="majorHAnsi"/>
        </w:rPr>
      </w:pPr>
      <w:r w:rsidRPr="00DE754A">
        <w:rPr>
          <w:rFonts w:asciiTheme="majorHAnsi" w:hAnsiTheme="majorHAnsi"/>
        </w:rPr>
        <w:t xml:space="preserve">Z naszego badania wynika, że nadużycia wewnętrzne nie stanowią w percepcji respondentów wysokiego zagrożenia - tylko 3% z nich oceniło, że zagrożenie nimi jest wysokie, choć są podstawą aż 27% zgłoszeń dokonywanych przez sygnalistów. Być może jest to właśnie powód, dlaczego w praktyce tego rodzaju nieprawidłowości są jednymi z najczęściej występujących – organizacje najwięcej uwagi poświęcają zagrożeniom zewnętrznym, </w:t>
      </w:r>
      <w:proofErr w:type="spellStart"/>
      <w:r w:rsidRPr="00DE754A">
        <w:rPr>
          <w:rFonts w:asciiTheme="majorHAnsi" w:hAnsiTheme="majorHAnsi"/>
        </w:rPr>
        <w:t>niedoszacowując</w:t>
      </w:r>
      <w:proofErr w:type="spellEnd"/>
      <w:r w:rsidRPr="00DE754A">
        <w:rPr>
          <w:rFonts w:asciiTheme="majorHAnsi" w:hAnsiTheme="majorHAnsi"/>
        </w:rPr>
        <w:t xml:space="preserve"> potencjalnych </w:t>
      </w:r>
      <w:proofErr w:type="spellStart"/>
      <w:r w:rsidRPr="00DE754A">
        <w:rPr>
          <w:rFonts w:asciiTheme="majorHAnsi" w:hAnsiTheme="majorHAnsi"/>
        </w:rPr>
        <w:t>ryzyk</w:t>
      </w:r>
      <w:proofErr w:type="spellEnd"/>
      <w:r w:rsidRPr="00DE754A">
        <w:rPr>
          <w:rFonts w:asciiTheme="majorHAnsi" w:hAnsiTheme="majorHAnsi"/>
        </w:rPr>
        <w:t xml:space="preserve"> wynikających z nadużyć wewnętrznych.</w:t>
      </w:r>
    </w:p>
    <w:p w14:paraId="2FBD543B" w14:textId="77777777" w:rsidR="00DE754A" w:rsidRPr="00DE754A" w:rsidRDefault="00DE754A" w:rsidP="00DE754A">
      <w:pPr>
        <w:jc w:val="both"/>
        <w:rPr>
          <w:rFonts w:asciiTheme="majorHAnsi" w:hAnsiTheme="majorHAnsi"/>
        </w:rPr>
      </w:pPr>
    </w:p>
    <w:p w14:paraId="0D55302E" w14:textId="77777777" w:rsidR="00DE754A" w:rsidRPr="00DE754A" w:rsidRDefault="00DE754A" w:rsidP="00DE754A">
      <w:pPr>
        <w:jc w:val="center"/>
        <w:rPr>
          <w:rFonts w:asciiTheme="majorHAnsi" w:hAnsiTheme="majorHAnsi"/>
        </w:rPr>
      </w:pPr>
      <w:r w:rsidRPr="00DE754A">
        <w:rPr>
          <w:rFonts w:asciiTheme="majorHAnsi" w:hAnsiTheme="majorHAnsi"/>
          <w:noProof/>
        </w:rPr>
        <w:drawing>
          <wp:inline distT="0" distB="0" distL="0" distR="0" wp14:anchorId="5013997F" wp14:editId="1AF46A2A">
            <wp:extent cx="3901448" cy="4355601"/>
            <wp:effectExtent l="0" t="0" r="381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01448" cy="4355601"/>
                    </a:xfrm>
                    <a:prstGeom prst="rect">
                      <a:avLst/>
                    </a:prstGeom>
                  </pic:spPr>
                </pic:pic>
              </a:graphicData>
            </a:graphic>
          </wp:inline>
        </w:drawing>
      </w:r>
    </w:p>
    <w:p w14:paraId="182618E6" w14:textId="77777777" w:rsidR="00DE754A" w:rsidRPr="00DE754A" w:rsidRDefault="00DE754A" w:rsidP="00DE754A">
      <w:pPr>
        <w:jc w:val="both"/>
        <w:rPr>
          <w:rFonts w:asciiTheme="majorHAnsi" w:hAnsiTheme="majorHAnsi"/>
        </w:rPr>
      </w:pPr>
    </w:p>
    <w:p w14:paraId="0895EE46" w14:textId="77777777" w:rsidR="00DE754A" w:rsidRPr="00DE754A" w:rsidRDefault="00DE754A" w:rsidP="00DE754A">
      <w:pPr>
        <w:spacing w:after="160" w:line="259" w:lineRule="auto"/>
        <w:jc w:val="both"/>
        <w:rPr>
          <w:rFonts w:asciiTheme="majorHAnsi" w:hAnsiTheme="majorHAnsi"/>
        </w:rPr>
      </w:pPr>
      <w:r w:rsidRPr="00DE754A">
        <w:rPr>
          <w:rFonts w:asciiTheme="majorHAnsi" w:hAnsiTheme="majorHAnsi"/>
        </w:rPr>
        <w:t xml:space="preserve">Instytucje finansowe w walce z nadużyciami równocześnie wykorzystują wiele technik opartych na technologii oraz specjalistycznych kompetencjach ludzi. Co trzecia pytana instytucja na przestrzeni ostatniego roku w większym stopniu zaczęła korzystać z usług świadczonych przez zewnętrzne firmy, takie jak dostawcy infrastruktury IT, doradcy biznesowi oraz dostawcy usług związanych z bezpieczeństwem. Podobnie jak przed rokiem, preferowane są metody prewencyjne oraz działania podejmowane przez wewnętrzne zespoły ekspertów ds. walki z nadużyciami. Zaskakujące jest, że najbardziej efektywnej metody przeciwdziałania nadużyciom w instytucjach finansowych, czyli czynności podejmowanych przez samodzielny zespół wewnętrzny zajmujący się wykrywaniem i zwalczaniem nieprawidłowości nie stosuje 25% ankietowanych banków. </w:t>
      </w:r>
    </w:p>
    <w:p w14:paraId="7AE2A82D" w14:textId="77777777" w:rsidR="00DE754A" w:rsidRPr="00DE754A" w:rsidRDefault="00DE754A" w:rsidP="00DE754A">
      <w:pPr>
        <w:spacing w:after="160" w:line="259" w:lineRule="auto"/>
        <w:jc w:val="both"/>
        <w:rPr>
          <w:rFonts w:asciiTheme="majorHAnsi" w:hAnsiTheme="majorHAnsi"/>
        </w:rPr>
      </w:pPr>
      <w:r w:rsidRPr="00DE754A">
        <w:rPr>
          <w:rFonts w:asciiTheme="majorHAnsi" w:hAnsiTheme="majorHAnsi"/>
        </w:rPr>
        <w:t xml:space="preserve">Wyniki badania </w:t>
      </w:r>
      <w:r w:rsidRPr="00DE754A">
        <w:rPr>
          <w:rFonts w:asciiTheme="majorHAnsi" w:hAnsiTheme="majorHAnsi"/>
          <w:i/>
          <w:iCs/>
        </w:rPr>
        <w:t>Nadużycia w sektorze finansowym, edycja 2021</w:t>
      </w:r>
      <w:r w:rsidRPr="00DE754A">
        <w:rPr>
          <w:rFonts w:asciiTheme="majorHAnsi" w:hAnsiTheme="majorHAnsi"/>
        </w:rPr>
        <w:t xml:space="preserve"> zostały szerzej zaprezentowane 4 listopada 2021 w Warszawie podczas XII Kongresu </w:t>
      </w:r>
      <w:proofErr w:type="spellStart"/>
      <w:r w:rsidRPr="00DE754A">
        <w:rPr>
          <w:rFonts w:asciiTheme="majorHAnsi" w:hAnsiTheme="majorHAnsi"/>
        </w:rPr>
        <w:t>Antyfraudowego</w:t>
      </w:r>
      <w:proofErr w:type="spellEnd"/>
      <w:r w:rsidRPr="00DE754A">
        <w:rPr>
          <w:rFonts w:asciiTheme="majorHAnsi" w:hAnsiTheme="majorHAnsi"/>
        </w:rPr>
        <w:t>, organizowanego wspólnie przez ZPF oraz firmę EY.</w:t>
      </w:r>
    </w:p>
    <w:p w14:paraId="645AC1C1" w14:textId="77777777" w:rsidR="00DE754A" w:rsidRPr="00DE754A" w:rsidRDefault="00DE754A" w:rsidP="00DE754A">
      <w:pPr>
        <w:jc w:val="both"/>
        <w:rPr>
          <w:rFonts w:asciiTheme="majorHAnsi" w:hAnsiTheme="majorHAnsi" w:cstheme="minorHAnsi"/>
        </w:rPr>
      </w:pPr>
      <w:r w:rsidRPr="00DE754A">
        <w:rPr>
          <w:rFonts w:asciiTheme="majorHAnsi" w:hAnsiTheme="majorHAnsi" w:cstheme="minorHAnsi"/>
        </w:rPr>
        <w:t>***</w:t>
      </w:r>
    </w:p>
    <w:p w14:paraId="08C7E940" w14:textId="77777777" w:rsidR="00DE754A" w:rsidRPr="00DE754A" w:rsidRDefault="00DE754A" w:rsidP="00DE754A">
      <w:pPr>
        <w:jc w:val="both"/>
        <w:rPr>
          <w:rFonts w:asciiTheme="majorHAnsi" w:hAnsiTheme="majorHAnsi"/>
        </w:rPr>
      </w:pPr>
      <w:r w:rsidRPr="00DE754A">
        <w:rPr>
          <w:rFonts w:asciiTheme="majorHAnsi" w:hAnsiTheme="majorHAnsi" w:cstheme="minorHAnsi"/>
        </w:rPr>
        <w:t xml:space="preserve">Badanie </w:t>
      </w:r>
      <w:r w:rsidRPr="00DE754A">
        <w:rPr>
          <w:rFonts w:asciiTheme="majorHAnsi" w:hAnsiTheme="majorHAnsi" w:cstheme="minorHAnsi"/>
          <w:b/>
          <w:bCs/>
          <w:i/>
          <w:iCs/>
        </w:rPr>
        <w:t>Nadużycia w sektorze finansowym</w:t>
      </w:r>
      <w:r w:rsidRPr="00DE754A">
        <w:rPr>
          <w:rFonts w:asciiTheme="majorHAnsi" w:hAnsiTheme="majorHAnsi" w:cstheme="minorHAnsi"/>
        </w:rPr>
        <w:t xml:space="preserve"> to cykliczny projekt realizowany od 2009 roku przez ZPF i firmę EY. Jego celem jest zobrazowanie i monitorowanie zmian zjawiska nadużyć występujących w instytucjach działających w różnych sektorach rynku usług finansowych w Polsce. </w:t>
      </w:r>
      <w:r w:rsidRPr="00DE754A">
        <w:rPr>
          <w:rFonts w:asciiTheme="majorHAnsi" w:hAnsiTheme="majorHAnsi"/>
        </w:rPr>
        <w:t xml:space="preserve">W raporcie poruszane są najbardziej aktualne tematy z punktu widzenia specjalistów zajmujących się zapobieganiem nadużyciom.  </w:t>
      </w:r>
      <w:r w:rsidRPr="00DE754A">
        <w:rPr>
          <w:rFonts w:asciiTheme="majorHAnsi" w:hAnsiTheme="majorHAnsi" w:cstheme="minorHAnsi"/>
        </w:rPr>
        <w:t xml:space="preserve">Raport, który powstaje w oparciu o wyniki badania, przedstawia obserwacje i wnioski istotne w kontekście podnoszenia poziomu ochrony profesjonalnych uczestników rynku finansowego przed wyłudzeniami i oszustwami. </w:t>
      </w:r>
      <w:r w:rsidRPr="00DE754A">
        <w:rPr>
          <w:rFonts w:asciiTheme="majorHAnsi" w:hAnsiTheme="majorHAnsi"/>
        </w:rPr>
        <w:t>Badanie zostało przeprowadzone w formie anonimowej ankiety prowadzonej od czerwca do września 2021 roku wśród banków</w:t>
      </w:r>
      <w:r w:rsidRPr="00DE754A">
        <w:rPr>
          <w:rStyle w:val="Odwoaniedokomentarza"/>
          <w:rFonts w:asciiTheme="majorHAnsi" w:hAnsiTheme="majorHAnsi"/>
        </w:rPr>
        <w:t xml:space="preserve"> (30% respondentów)</w:t>
      </w:r>
      <w:r w:rsidRPr="00DE754A">
        <w:rPr>
          <w:rFonts w:asciiTheme="majorHAnsi" w:hAnsiTheme="majorHAnsi"/>
        </w:rPr>
        <w:t xml:space="preserve">, instytucji pożyczkowych (37%), firm leasingowych (25%) i – dodatkowo zakładów ubezpieczeń, firm z sektora pośrednictwa finansowego oraz firm z branży </w:t>
      </w:r>
      <w:proofErr w:type="spellStart"/>
      <w:r w:rsidRPr="00DE754A">
        <w:rPr>
          <w:rFonts w:asciiTheme="majorHAnsi" w:hAnsiTheme="majorHAnsi"/>
        </w:rPr>
        <w:t>FinTech</w:t>
      </w:r>
      <w:proofErr w:type="spellEnd"/>
      <w:r w:rsidRPr="00DE754A">
        <w:rPr>
          <w:rFonts w:asciiTheme="majorHAnsi" w:hAnsiTheme="majorHAnsi"/>
        </w:rPr>
        <w:t>.</w:t>
      </w:r>
    </w:p>
    <w:p w14:paraId="784BF172" w14:textId="77777777" w:rsidR="00DE754A" w:rsidRPr="00DE754A" w:rsidRDefault="00DE754A" w:rsidP="00DE754A">
      <w:pPr>
        <w:jc w:val="both"/>
        <w:rPr>
          <w:rStyle w:val="Pogrubienie"/>
          <w:rFonts w:asciiTheme="majorHAnsi" w:hAnsiTheme="majorHAnsi"/>
          <w:shd w:val="clear" w:color="auto" w:fill="FFFFFF"/>
        </w:rPr>
      </w:pPr>
    </w:p>
    <w:p w14:paraId="147AA145" w14:textId="77777777" w:rsidR="00DE754A" w:rsidRPr="00DE754A" w:rsidRDefault="00DE754A" w:rsidP="00DE754A">
      <w:pPr>
        <w:jc w:val="both"/>
        <w:rPr>
          <w:rFonts w:asciiTheme="majorHAnsi" w:hAnsiTheme="majorHAnsi"/>
          <w:shd w:val="clear" w:color="auto" w:fill="FFFFFF"/>
        </w:rPr>
      </w:pPr>
      <w:r w:rsidRPr="00DE754A">
        <w:rPr>
          <w:rStyle w:val="Pogrubienie"/>
          <w:rFonts w:asciiTheme="majorHAnsi" w:hAnsiTheme="majorHAnsi"/>
          <w:shd w:val="clear" w:color="auto" w:fill="FFFFFF"/>
        </w:rPr>
        <w:lastRenderedPageBreak/>
        <w:t xml:space="preserve">Kongres </w:t>
      </w:r>
      <w:proofErr w:type="spellStart"/>
      <w:r w:rsidRPr="00DE754A">
        <w:rPr>
          <w:rStyle w:val="Pogrubienie"/>
          <w:rFonts w:asciiTheme="majorHAnsi" w:hAnsiTheme="majorHAnsi"/>
          <w:shd w:val="clear" w:color="auto" w:fill="FFFFFF"/>
        </w:rPr>
        <w:t>Antyfraudowy</w:t>
      </w:r>
      <w:proofErr w:type="spellEnd"/>
      <w:r w:rsidRPr="00DE754A">
        <w:rPr>
          <w:rFonts w:asciiTheme="majorHAnsi" w:hAnsiTheme="majorHAnsi"/>
          <w:shd w:val="clear" w:color="auto" w:fill="FFFFFF"/>
        </w:rPr>
        <w:t> to cykliczne wydarzenie poświęcone problemowi nadużyć w sektorze finansowym. Jest to także forum wymiany poglądów i doświadczeń pomiędzy specjalistami, którzy odpowiadają za skuteczność programów walki z wyłudzeniami. Ważną cechą tego wydarzenia jest jego międzysektorowy charakter, pozwalający na integrację wiedzy różnych środowisk branży finansowej o zjawisku wyłudzeń. Kongres jest kierowany do szerokiego spektrum podmiotów sektora finansowego, w tym banków, firm leasingowych, zakładów ubezpieczeń, SKOK-ów i firm pożyczkowych.</w:t>
      </w:r>
    </w:p>
    <w:p w14:paraId="3F899B79" w14:textId="77777777" w:rsidR="00DE754A" w:rsidRPr="00DE754A" w:rsidRDefault="00DE754A" w:rsidP="00DE754A">
      <w:pPr>
        <w:jc w:val="both"/>
        <w:rPr>
          <w:rFonts w:asciiTheme="majorHAnsi" w:hAnsiTheme="majorHAnsi"/>
          <w:shd w:val="clear" w:color="auto" w:fill="FFFFFF"/>
        </w:rPr>
      </w:pPr>
    </w:p>
    <w:p w14:paraId="1D1E4EC5" w14:textId="77777777" w:rsidR="00DE754A" w:rsidRPr="00DE754A" w:rsidRDefault="00DE754A" w:rsidP="00DE754A">
      <w:pPr>
        <w:jc w:val="both"/>
        <w:rPr>
          <w:rFonts w:asciiTheme="majorHAnsi" w:hAnsiTheme="majorHAnsi"/>
          <w:b/>
          <w:bCs/>
        </w:rPr>
      </w:pPr>
      <w:r w:rsidRPr="00DE754A">
        <w:rPr>
          <w:rFonts w:asciiTheme="majorHAnsi" w:hAnsiTheme="majorHAnsi"/>
          <w:b/>
          <w:bCs/>
          <w:shd w:val="clear" w:color="auto" w:fill="FFFFFF"/>
        </w:rPr>
        <w:t>O EY</w:t>
      </w:r>
    </w:p>
    <w:p w14:paraId="2EC09EEE" w14:textId="77777777" w:rsidR="00DE754A" w:rsidRPr="00DE754A" w:rsidRDefault="00DE754A" w:rsidP="00DE754A">
      <w:pPr>
        <w:jc w:val="both"/>
        <w:rPr>
          <w:rFonts w:asciiTheme="majorHAnsi" w:hAnsiTheme="majorHAnsi"/>
        </w:rPr>
      </w:pPr>
      <w:r w:rsidRPr="00DE754A">
        <w:rPr>
          <w:rFonts w:asciiTheme="majorHAnsi" w:hAnsiTheme="majorHAnsi"/>
        </w:rPr>
        <w:t>Celem działalności EY jest budowanie lepiej funkcjonującego świata - poprzez wspieranie</w:t>
      </w:r>
    </w:p>
    <w:p w14:paraId="2E9DCF41" w14:textId="77777777" w:rsidR="00DE754A" w:rsidRPr="00DE754A" w:rsidRDefault="00DE754A" w:rsidP="00DE754A">
      <w:pPr>
        <w:jc w:val="both"/>
        <w:rPr>
          <w:rFonts w:asciiTheme="majorHAnsi" w:hAnsiTheme="majorHAnsi"/>
        </w:rPr>
      </w:pPr>
      <w:r w:rsidRPr="00DE754A">
        <w:rPr>
          <w:rFonts w:asciiTheme="majorHAnsi" w:hAnsiTheme="majorHAnsi"/>
        </w:rPr>
        <w:t>klientów, pracowników i społeczeństwa w tworzeniu trwałych wartości - oraz budowanie</w:t>
      </w:r>
    </w:p>
    <w:p w14:paraId="7724AC54" w14:textId="77777777" w:rsidR="00DE754A" w:rsidRPr="00DE754A" w:rsidRDefault="00DE754A" w:rsidP="00DE754A">
      <w:pPr>
        <w:jc w:val="both"/>
        <w:rPr>
          <w:rFonts w:asciiTheme="majorHAnsi" w:hAnsiTheme="majorHAnsi"/>
        </w:rPr>
      </w:pPr>
      <w:r w:rsidRPr="00DE754A">
        <w:rPr>
          <w:rFonts w:asciiTheme="majorHAnsi" w:hAnsiTheme="majorHAnsi"/>
        </w:rPr>
        <w:t>zaufania na rynkach kapitałowych.</w:t>
      </w:r>
    </w:p>
    <w:p w14:paraId="54F409CD" w14:textId="77777777" w:rsidR="00DE754A" w:rsidRPr="00DE754A" w:rsidRDefault="00DE754A" w:rsidP="00DE754A">
      <w:pPr>
        <w:jc w:val="both"/>
        <w:rPr>
          <w:rFonts w:asciiTheme="majorHAnsi" w:hAnsiTheme="majorHAnsi"/>
        </w:rPr>
      </w:pPr>
      <w:r w:rsidRPr="00DE754A">
        <w:rPr>
          <w:rFonts w:asciiTheme="majorHAnsi" w:hAnsiTheme="majorHAnsi"/>
        </w:rPr>
        <w:t>Wspomagane przez dane i technologię, zróżnicowane zespoły EY działające w ponad 150</w:t>
      </w:r>
    </w:p>
    <w:p w14:paraId="3128DDE8" w14:textId="77777777" w:rsidR="00DE754A" w:rsidRPr="00DE754A" w:rsidRDefault="00DE754A" w:rsidP="00DE754A">
      <w:pPr>
        <w:jc w:val="both"/>
        <w:rPr>
          <w:rFonts w:asciiTheme="majorHAnsi" w:hAnsiTheme="majorHAnsi"/>
        </w:rPr>
      </w:pPr>
      <w:r w:rsidRPr="00DE754A">
        <w:rPr>
          <w:rFonts w:asciiTheme="majorHAnsi" w:hAnsiTheme="majorHAnsi"/>
        </w:rPr>
        <w:t>krajach, zapewniają zaufanie dzięki usługom audytorskim oraz wspierają klientów w rozwoju, transformacji biznesowej i działalności operacyjnej.</w:t>
      </w:r>
    </w:p>
    <w:p w14:paraId="07D5DE5B" w14:textId="77777777" w:rsidR="00DE754A" w:rsidRPr="00DE754A" w:rsidRDefault="00DE754A" w:rsidP="00DE754A">
      <w:pPr>
        <w:jc w:val="both"/>
        <w:rPr>
          <w:rFonts w:asciiTheme="majorHAnsi" w:hAnsiTheme="majorHAnsi"/>
        </w:rPr>
      </w:pPr>
      <w:r w:rsidRPr="00DE754A">
        <w:rPr>
          <w:rFonts w:asciiTheme="majorHAnsi" w:hAnsiTheme="majorHAnsi"/>
        </w:rPr>
        <w:t>Zespoły audytorskie, consultingowe, prawne, strategiczne, podatkowe i transakcyjne zadają nieoczywiste pytania, by móc znaleźć nowe odpowiedzi na złożone wyzwania, przed którymi stoi dziś świat.</w:t>
      </w:r>
    </w:p>
    <w:p w14:paraId="32C01111" w14:textId="77777777" w:rsidR="00DE754A" w:rsidRPr="00DE754A" w:rsidRDefault="00DE754A" w:rsidP="00DE754A">
      <w:pPr>
        <w:jc w:val="both"/>
        <w:rPr>
          <w:rFonts w:asciiTheme="majorHAnsi" w:hAnsiTheme="majorHAnsi"/>
        </w:rPr>
      </w:pPr>
      <w:r w:rsidRPr="00DE754A">
        <w:rPr>
          <w:rFonts w:asciiTheme="majorHAnsi" w:hAnsiTheme="majorHAnsi"/>
        </w:rPr>
        <w:t>EY w Polsce to ponad 5000 specjalistów pracujących w 7 miastach: w Warszawie, Gdańsku,</w:t>
      </w:r>
    </w:p>
    <w:p w14:paraId="0D5B8202" w14:textId="77777777" w:rsidR="00DE754A" w:rsidRPr="00DE754A" w:rsidRDefault="00DE754A" w:rsidP="00DE754A">
      <w:pPr>
        <w:jc w:val="both"/>
        <w:rPr>
          <w:rFonts w:asciiTheme="majorHAnsi" w:hAnsiTheme="majorHAnsi"/>
        </w:rPr>
      </w:pPr>
      <w:r w:rsidRPr="00DE754A">
        <w:rPr>
          <w:rFonts w:asciiTheme="majorHAnsi" w:hAnsiTheme="majorHAnsi"/>
        </w:rPr>
        <w:t>Katowicach, Krakowie, Łodzi, Poznaniu i Wrocławiu oraz w Centrum Usług Wspólnych EY.</w:t>
      </w:r>
    </w:p>
    <w:p w14:paraId="0A974F7C" w14:textId="77777777" w:rsidR="00DE754A" w:rsidRPr="00DE754A" w:rsidRDefault="00DE754A" w:rsidP="00DE754A">
      <w:pPr>
        <w:jc w:val="both"/>
        <w:rPr>
          <w:rFonts w:asciiTheme="majorHAnsi" w:hAnsiTheme="majorHAnsi"/>
        </w:rPr>
      </w:pPr>
      <w:r w:rsidRPr="00DE754A">
        <w:rPr>
          <w:rFonts w:asciiTheme="majorHAnsi" w:hAnsiTheme="majorHAnsi"/>
        </w:rPr>
        <w:t>Działając na polskim rynku co roku EY doradza tysiącom firm, zarówno małym i średnim</w:t>
      </w:r>
    </w:p>
    <w:p w14:paraId="69D109D5" w14:textId="77777777" w:rsidR="00DE754A" w:rsidRPr="00DE754A" w:rsidRDefault="00DE754A" w:rsidP="00DE754A">
      <w:pPr>
        <w:jc w:val="both"/>
        <w:rPr>
          <w:rFonts w:asciiTheme="majorHAnsi" w:hAnsiTheme="majorHAnsi"/>
        </w:rPr>
      </w:pPr>
      <w:r w:rsidRPr="00DE754A">
        <w:rPr>
          <w:rFonts w:asciiTheme="majorHAnsi" w:hAnsiTheme="majorHAnsi"/>
        </w:rPr>
        <w:t>przedsiębiorstwom, jak i największym firmom. Tworzy unikatowe analizy, dzieli się wiedzą, integruje środowisko przedsiębiorców oraz angażuje się społecznie. Działająca od ponad 20 lat Fundacja EY wspiera rozwój i edukację dzieci oraz młodzieży z rodzin zastępczych, zwiększając ich szanse na dobrą przyszłość, a także pomaga opiekunom zastępczym w ich codziennej pracy. Każdego roku Fundacja EY realizuje około 20 projektów pomocowych, wspierając w ten sposób ponad 1300 rodzin zastępczych.</w:t>
      </w:r>
    </w:p>
    <w:p w14:paraId="13731CA7" w14:textId="77777777" w:rsidR="00DE754A" w:rsidRPr="00DE754A" w:rsidRDefault="00DE754A" w:rsidP="00DE754A">
      <w:pPr>
        <w:jc w:val="both"/>
        <w:rPr>
          <w:rFonts w:asciiTheme="majorHAnsi" w:hAnsiTheme="majorHAnsi"/>
        </w:rPr>
      </w:pPr>
      <w:r w:rsidRPr="00DE754A">
        <w:rPr>
          <w:rFonts w:asciiTheme="majorHAnsi" w:hAnsiTheme="majorHAnsi"/>
        </w:rPr>
        <w:t xml:space="preserve">EY Polska od 2003 roku prowadzi polską edycję międzynarodowego konkursu EY Przedsiębiorca Roku, której zwycięzcy reprezentują Polskę w międzynarodowym finale World Entrepreneur of the </w:t>
      </w:r>
      <w:proofErr w:type="spellStart"/>
      <w:r w:rsidRPr="00DE754A">
        <w:rPr>
          <w:rFonts w:asciiTheme="majorHAnsi" w:hAnsiTheme="majorHAnsi"/>
        </w:rPr>
        <w:t>Year</w:t>
      </w:r>
      <w:proofErr w:type="spellEnd"/>
      <w:r w:rsidRPr="00DE754A">
        <w:rPr>
          <w:rFonts w:asciiTheme="majorHAnsi" w:hAnsiTheme="majorHAnsi"/>
        </w:rPr>
        <w:t xml:space="preserve"> organizowanym co roku w Monte Carlo. To jedyna tej rangi, międzynarodowa inicjatywa promująca najlepszych przedsiębiorców.</w:t>
      </w:r>
    </w:p>
    <w:p w14:paraId="421EF834" w14:textId="77777777" w:rsidR="00DE754A" w:rsidRPr="00DE754A" w:rsidRDefault="00DE754A" w:rsidP="00DE754A">
      <w:pPr>
        <w:jc w:val="both"/>
        <w:rPr>
          <w:rFonts w:asciiTheme="majorHAnsi" w:hAnsiTheme="majorHAnsi"/>
        </w:rPr>
      </w:pPr>
      <w:r w:rsidRPr="00DE754A">
        <w:rPr>
          <w:rFonts w:asciiTheme="majorHAnsi" w:hAnsiTheme="majorHAnsi"/>
        </w:rPr>
        <w:t>EY Polska jest sygnatariuszem Karty Różnorodności i pracodawcą równych szans. Realizuje wewnętrzny program „Poziom wyżej bez barier”, aktywnie wspierający osoby z</w:t>
      </w:r>
    </w:p>
    <w:p w14:paraId="3924ABF2" w14:textId="77777777" w:rsidR="00DE754A" w:rsidRPr="00DE754A" w:rsidRDefault="00DE754A" w:rsidP="00DE754A">
      <w:pPr>
        <w:jc w:val="both"/>
        <w:rPr>
          <w:rFonts w:asciiTheme="majorHAnsi" w:hAnsiTheme="majorHAnsi"/>
        </w:rPr>
      </w:pPr>
      <w:r w:rsidRPr="00DE754A">
        <w:rPr>
          <w:rFonts w:asciiTheme="majorHAnsi" w:hAnsiTheme="majorHAnsi"/>
        </w:rPr>
        <w:t>niepełnosprawnościami na rynku pracy. EY był w Polsce wielokrotnie wyróżniany tytułem</w:t>
      </w:r>
    </w:p>
    <w:p w14:paraId="4EE54093" w14:textId="77777777" w:rsidR="00DE754A" w:rsidRPr="00DE754A" w:rsidRDefault="00DE754A" w:rsidP="00DE754A">
      <w:pPr>
        <w:jc w:val="both"/>
        <w:rPr>
          <w:rFonts w:asciiTheme="majorHAnsi" w:hAnsiTheme="majorHAnsi"/>
        </w:rPr>
      </w:pPr>
      <w:r w:rsidRPr="00DE754A">
        <w:rPr>
          <w:rFonts w:asciiTheme="majorHAnsi" w:hAnsiTheme="majorHAnsi"/>
        </w:rPr>
        <w:t xml:space="preserve">„Pracodawca Roku®” w rankingu prowadzonym przez międzynarodową organizację studencką AIESEC. EY jest również laureatem w rankingach Great Place to </w:t>
      </w:r>
      <w:proofErr w:type="spellStart"/>
      <w:r w:rsidRPr="00DE754A">
        <w:rPr>
          <w:rFonts w:asciiTheme="majorHAnsi" w:hAnsiTheme="majorHAnsi"/>
        </w:rPr>
        <w:t>Work</w:t>
      </w:r>
      <w:proofErr w:type="spellEnd"/>
      <w:r w:rsidRPr="00DE754A">
        <w:rPr>
          <w:rFonts w:asciiTheme="majorHAnsi" w:hAnsiTheme="majorHAnsi"/>
        </w:rPr>
        <w:t xml:space="preserve"> oraz Idealny Pracodawca według Uniwersum.</w:t>
      </w:r>
    </w:p>
    <w:p w14:paraId="4BEB2330" w14:textId="77777777" w:rsidR="00DE754A" w:rsidRPr="00DE754A" w:rsidRDefault="00DE754A" w:rsidP="00DE754A">
      <w:pPr>
        <w:jc w:val="both"/>
        <w:rPr>
          <w:rFonts w:asciiTheme="majorHAnsi" w:hAnsiTheme="majorHAnsi"/>
        </w:rPr>
      </w:pPr>
    </w:p>
    <w:p w14:paraId="16B1D5D6" w14:textId="77777777" w:rsidR="00DE754A" w:rsidRPr="00DE754A" w:rsidRDefault="00DE754A" w:rsidP="00DE754A">
      <w:pPr>
        <w:jc w:val="both"/>
        <w:rPr>
          <w:rFonts w:asciiTheme="majorHAnsi" w:hAnsiTheme="majorHAnsi"/>
          <w:b/>
          <w:bCs/>
          <w:shd w:val="clear" w:color="auto" w:fill="FFFFFF"/>
        </w:rPr>
      </w:pPr>
      <w:r w:rsidRPr="00DE754A">
        <w:rPr>
          <w:rFonts w:asciiTheme="majorHAnsi" w:hAnsiTheme="majorHAnsi"/>
          <w:b/>
          <w:bCs/>
          <w:shd w:val="clear" w:color="auto" w:fill="FFFFFF"/>
        </w:rPr>
        <w:t>O ZPF</w:t>
      </w:r>
    </w:p>
    <w:p w14:paraId="3F652DB6" w14:textId="77777777" w:rsidR="00DE754A" w:rsidRPr="00DE754A" w:rsidRDefault="00DE754A" w:rsidP="00DE754A">
      <w:pPr>
        <w:jc w:val="both"/>
        <w:rPr>
          <w:rFonts w:asciiTheme="majorHAnsi" w:hAnsiTheme="majorHAnsi"/>
        </w:rPr>
      </w:pPr>
      <w:r w:rsidRPr="00DE754A">
        <w:rPr>
          <w:rFonts w:asciiTheme="majorHAnsi" w:hAnsiTheme="majorHAnsi"/>
        </w:rPr>
        <w:t xml:space="preserve">Związek Przedsiębiorstw Finansowych w Polsce (wcześniej Konferencja Przedsiębiorstw Finansowych w Polsce) skupia blisko sto kluczowych przedsiębiorstw z rynku finansowego w Polsce, w tym banki, doradców i pośredników finansowych, instytucje pożyczkowe, podmioty zarządzające informacją gospodarczą, zarządzające wierzytelnościami oraz przedsiębiorstwa z branży ubezpieczeniowej i </w:t>
      </w:r>
      <w:proofErr w:type="spellStart"/>
      <w:r w:rsidRPr="00DE754A">
        <w:rPr>
          <w:rFonts w:asciiTheme="majorHAnsi" w:hAnsiTheme="majorHAnsi"/>
        </w:rPr>
        <w:t>fintechy</w:t>
      </w:r>
      <w:proofErr w:type="spellEnd"/>
      <w:r w:rsidRPr="00DE754A">
        <w:rPr>
          <w:rFonts w:asciiTheme="majorHAnsi" w:hAnsiTheme="majorHAnsi"/>
        </w:rPr>
        <w:t xml:space="preserve">. Od ponad 20 lat organizacja działa na rzecz rozwoju rynku finansowego w Polsce i podnoszenia standardów etycznych w branży. ZPF występuje aktywnie jako partner społeczny w procesach legislacyjnych, polskich i europejskich. Jest Członkiem Rady Rozwoju Rynku Finansowego, powołanej do życia przez Ministra Finansów Rzeczypospolitej Polskiej, a także reprezentuje polskie instytucje finansowe w UE jako członek EUROFINAS - </w:t>
      </w:r>
      <w:proofErr w:type="spellStart"/>
      <w:r w:rsidRPr="00DE754A">
        <w:rPr>
          <w:rFonts w:asciiTheme="majorHAnsi" w:hAnsiTheme="majorHAnsi"/>
        </w:rPr>
        <w:t>European</w:t>
      </w:r>
      <w:proofErr w:type="spellEnd"/>
      <w:r w:rsidRPr="00DE754A">
        <w:rPr>
          <w:rFonts w:asciiTheme="majorHAnsi" w:hAnsiTheme="majorHAnsi"/>
        </w:rPr>
        <w:t xml:space="preserve"> </w:t>
      </w:r>
      <w:proofErr w:type="spellStart"/>
      <w:r w:rsidRPr="00DE754A">
        <w:rPr>
          <w:rFonts w:asciiTheme="majorHAnsi" w:hAnsiTheme="majorHAnsi"/>
        </w:rPr>
        <w:t>Federation</w:t>
      </w:r>
      <w:proofErr w:type="spellEnd"/>
      <w:r w:rsidRPr="00DE754A">
        <w:rPr>
          <w:rFonts w:asciiTheme="majorHAnsi" w:hAnsiTheme="majorHAnsi"/>
        </w:rPr>
        <w:t xml:space="preserve"> of Finance House </w:t>
      </w:r>
      <w:proofErr w:type="spellStart"/>
      <w:r w:rsidRPr="00DE754A">
        <w:rPr>
          <w:rFonts w:asciiTheme="majorHAnsi" w:hAnsiTheme="majorHAnsi"/>
        </w:rPr>
        <w:t>Associations</w:t>
      </w:r>
      <w:proofErr w:type="spellEnd"/>
      <w:r w:rsidRPr="00DE754A">
        <w:rPr>
          <w:rFonts w:asciiTheme="majorHAnsi" w:hAnsiTheme="majorHAnsi"/>
        </w:rPr>
        <w:t>. ZPF ma w swoim dorobku badawczym kilkaset raportów branżowych, jest także organizatorem kongresów i szkoleń oraz innych inicjatyw dla branży finansowej.</w:t>
      </w:r>
    </w:p>
    <w:p w14:paraId="27977716" w14:textId="77777777" w:rsidR="00DE754A" w:rsidRPr="00DE754A" w:rsidRDefault="00DE754A" w:rsidP="00DE754A">
      <w:pPr>
        <w:jc w:val="both"/>
        <w:rPr>
          <w:rFonts w:asciiTheme="majorHAnsi" w:hAnsiTheme="majorHAnsi"/>
          <w:b/>
          <w:color w:val="000090"/>
          <w:sz w:val="16"/>
          <w:szCs w:val="18"/>
        </w:rPr>
      </w:pPr>
      <w:r w:rsidRPr="00DE754A">
        <w:rPr>
          <w:rFonts w:asciiTheme="majorHAnsi" w:hAnsiTheme="majorHAnsi"/>
          <w:noProof/>
          <w:lang w:val="en-US"/>
        </w:rPr>
        <w:drawing>
          <wp:anchor distT="0" distB="0" distL="114300" distR="114300" simplePos="0" relativeHeight="251659264" behindDoc="0" locked="0" layoutInCell="1" allowOverlap="1" wp14:anchorId="2D999C9C" wp14:editId="7919CDDB">
            <wp:simplePos x="0" y="0"/>
            <wp:positionH relativeFrom="margin">
              <wp:align>left</wp:align>
            </wp:positionH>
            <wp:positionV relativeFrom="paragraph">
              <wp:posOffset>74930</wp:posOffset>
            </wp:positionV>
            <wp:extent cx="252095" cy="252095"/>
            <wp:effectExtent l="0" t="0" r="0" b="0"/>
            <wp:wrapSquare wrapText="bothSides"/>
            <wp:docPr id="3" name="Obraz 3"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clipart&#10;&#10;Opis wygenerowany automatyczni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p>
    <w:p w14:paraId="78C043E8" w14:textId="77777777" w:rsidR="00DE754A" w:rsidRPr="00DE754A" w:rsidRDefault="00DE754A" w:rsidP="00DE754A">
      <w:pPr>
        <w:rPr>
          <w:rFonts w:asciiTheme="majorHAnsi" w:hAnsiTheme="majorHAnsi"/>
        </w:rPr>
      </w:pPr>
      <w:hyperlink r:id="rId16" w:history="1">
        <w:r w:rsidRPr="00DE754A">
          <w:rPr>
            <w:rStyle w:val="Hipercze"/>
            <w:rFonts w:asciiTheme="majorHAnsi" w:hAnsiTheme="majorHAnsi"/>
            <w:sz w:val="16"/>
            <w:szCs w:val="18"/>
          </w:rPr>
          <w:t>http://www.linkedin.com/company/zpf</w:t>
        </w:r>
      </w:hyperlink>
    </w:p>
    <w:p w14:paraId="1CBA8021" w14:textId="77777777" w:rsidR="00BA3A08" w:rsidRPr="00DE754A" w:rsidRDefault="00BA3A08" w:rsidP="00F81F49">
      <w:pPr>
        <w:spacing w:line="276" w:lineRule="auto"/>
        <w:contextualSpacing/>
        <w:jc w:val="right"/>
        <w:rPr>
          <w:rFonts w:asciiTheme="majorHAnsi" w:hAnsiTheme="majorHAnsi" w:cstheme="minorHAnsi"/>
          <w:b/>
          <w:bCs/>
          <w:sz w:val="24"/>
          <w:szCs w:val="24"/>
        </w:rPr>
      </w:pPr>
    </w:p>
    <w:sectPr w:rsidR="00BA3A08" w:rsidRPr="00DE754A" w:rsidSect="00412E53">
      <w:headerReference w:type="default" r:id="rId17"/>
      <w:footerReference w:type="default" r:id="rId18"/>
      <w:type w:val="continuous"/>
      <w:pgSz w:w="11906" w:h="16838"/>
      <w:pgMar w:top="1701"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D919" w14:textId="77777777" w:rsidR="005E5CBC" w:rsidRDefault="005E5CBC">
      <w:r>
        <w:separator/>
      </w:r>
    </w:p>
    <w:p w14:paraId="43254276" w14:textId="77777777" w:rsidR="005E5CBC" w:rsidRDefault="005E5CBC"/>
  </w:endnote>
  <w:endnote w:type="continuationSeparator" w:id="0">
    <w:p w14:paraId="77EB2E95" w14:textId="77777777" w:rsidR="005E5CBC" w:rsidRDefault="005E5CBC">
      <w:r>
        <w:continuationSeparator/>
      </w:r>
    </w:p>
    <w:p w14:paraId="14670B9C" w14:textId="77777777" w:rsidR="005E5CBC" w:rsidRDefault="005E5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50545918"/>
      <w:docPartObj>
        <w:docPartGallery w:val="Page Numbers (Bottom of Page)"/>
        <w:docPartUnique/>
      </w:docPartObj>
    </w:sdtPr>
    <w:sdtEndPr/>
    <w:sdtContent>
      <w:sdt>
        <w:sdtPr>
          <w:rPr>
            <w:rFonts w:asciiTheme="majorHAnsi" w:hAnsiTheme="majorHAnsi"/>
            <w:sz w:val="18"/>
            <w:szCs w:val="18"/>
          </w:rPr>
          <w:id w:val="-1329895559"/>
          <w:docPartObj>
            <w:docPartGallery w:val="Page Numbers (Top of Page)"/>
            <w:docPartUnique/>
          </w:docPartObj>
        </w:sdtPr>
        <w:sdtEndPr/>
        <w:sdtContent>
          <w:p w14:paraId="2D54CE81" w14:textId="0328EC51" w:rsidR="000335EB" w:rsidRPr="004027A1" w:rsidRDefault="00D5014B" w:rsidP="00D5014B">
            <w:pPr>
              <w:pStyle w:val="Stopka"/>
              <w:jc w:val="right"/>
              <w:rPr>
                <w:rFonts w:asciiTheme="majorHAnsi" w:hAnsiTheme="majorHAnsi"/>
                <w:sz w:val="18"/>
                <w:szCs w:val="18"/>
              </w:rPr>
            </w:pPr>
            <w:r w:rsidRPr="004027A1">
              <w:rPr>
                <w:rFonts w:asciiTheme="majorHAnsi" w:hAnsiTheme="majorHAnsi"/>
                <w:noProof/>
                <w:sz w:val="18"/>
                <w:szCs w:val="18"/>
              </w:rPr>
              <w:drawing>
                <wp:anchor distT="0" distB="0" distL="114300" distR="114300" simplePos="0" relativeHeight="251659264" behindDoc="0" locked="0" layoutInCell="1" allowOverlap="1" wp14:anchorId="2FE5F970" wp14:editId="249F0253">
                  <wp:simplePos x="0" y="0"/>
                  <wp:positionH relativeFrom="column">
                    <wp:posOffset>-900430</wp:posOffset>
                  </wp:positionH>
                  <wp:positionV relativeFrom="paragraph">
                    <wp:posOffset>-178435</wp:posOffset>
                  </wp:positionV>
                  <wp:extent cx="5732145" cy="748030"/>
                  <wp:effectExtent l="0" t="0" r="0" b="0"/>
                  <wp:wrapNone/>
                  <wp:docPr id="5" name="Obraz 5" descr="D:\Dokumenty KPF\GRAFIKA\_ZPF_Identyfikacja wizualna\ZPF_DOKUMENTY\ZPF_stopka-bez-eur-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 KPF\GRAFIKA\_ZPF_Identyfikacja wizualna\ZPF_DOKUMENTY\ZPF_stopka-bez-eur-25.wm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42" t="-3" r="30226" b="3160"/>
                          <a:stretch/>
                        </pic:blipFill>
                        <pic:spPr bwMode="auto">
                          <a:xfrm>
                            <a:off x="0" y="0"/>
                            <a:ext cx="5732145" cy="74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27A1">
              <w:rPr>
                <w:rFonts w:asciiTheme="majorHAnsi" w:hAnsiTheme="majorHAnsi"/>
                <w:sz w:val="18"/>
                <w:szCs w:val="18"/>
              </w:rPr>
              <w:t xml:space="preserve">Strona </w:t>
            </w:r>
            <w:r w:rsidRPr="004027A1">
              <w:rPr>
                <w:rFonts w:asciiTheme="majorHAnsi" w:hAnsiTheme="majorHAnsi"/>
                <w:b/>
                <w:bCs/>
                <w:sz w:val="18"/>
                <w:szCs w:val="18"/>
              </w:rPr>
              <w:fldChar w:fldCharType="begin"/>
            </w:r>
            <w:r w:rsidRPr="004027A1">
              <w:rPr>
                <w:rFonts w:asciiTheme="majorHAnsi" w:hAnsiTheme="majorHAnsi"/>
                <w:b/>
                <w:bCs/>
                <w:sz w:val="18"/>
                <w:szCs w:val="18"/>
              </w:rPr>
              <w:instrText>PAGE</w:instrText>
            </w:r>
            <w:r w:rsidRPr="004027A1">
              <w:rPr>
                <w:rFonts w:asciiTheme="majorHAnsi" w:hAnsiTheme="majorHAnsi"/>
                <w:b/>
                <w:bCs/>
                <w:sz w:val="18"/>
                <w:szCs w:val="18"/>
              </w:rPr>
              <w:fldChar w:fldCharType="separate"/>
            </w:r>
            <w:r w:rsidR="00412E53">
              <w:rPr>
                <w:rFonts w:asciiTheme="majorHAnsi" w:hAnsiTheme="majorHAnsi"/>
                <w:b/>
                <w:bCs/>
                <w:noProof/>
                <w:sz w:val="18"/>
                <w:szCs w:val="18"/>
              </w:rPr>
              <w:t>3</w:t>
            </w:r>
            <w:r w:rsidRPr="004027A1">
              <w:rPr>
                <w:rFonts w:asciiTheme="majorHAnsi" w:hAnsiTheme="majorHAnsi"/>
                <w:b/>
                <w:bCs/>
                <w:sz w:val="18"/>
                <w:szCs w:val="18"/>
              </w:rPr>
              <w:fldChar w:fldCharType="end"/>
            </w:r>
            <w:r w:rsidRPr="004027A1">
              <w:rPr>
                <w:rFonts w:asciiTheme="majorHAnsi" w:hAnsiTheme="majorHAnsi"/>
                <w:sz w:val="18"/>
                <w:szCs w:val="18"/>
              </w:rPr>
              <w:t xml:space="preserve"> z </w:t>
            </w:r>
            <w:r w:rsidRPr="004027A1">
              <w:rPr>
                <w:rFonts w:asciiTheme="majorHAnsi" w:hAnsiTheme="majorHAnsi"/>
                <w:b/>
                <w:bCs/>
                <w:sz w:val="18"/>
                <w:szCs w:val="18"/>
              </w:rPr>
              <w:fldChar w:fldCharType="begin"/>
            </w:r>
            <w:r w:rsidRPr="004027A1">
              <w:rPr>
                <w:rFonts w:asciiTheme="majorHAnsi" w:hAnsiTheme="majorHAnsi"/>
                <w:b/>
                <w:bCs/>
                <w:sz w:val="18"/>
                <w:szCs w:val="18"/>
              </w:rPr>
              <w:instrText>NUMPAGES</w:instrText>
            </w:r>
            <w:r w:rsidRPr="004027A1">
              <w:rPr>
                <w:rFonts w:asciiTheme="majorHAnsi" w:hAnsiTheme="majorHAnsi"/>
                <w:b/>
                <w:bCs/>
                <w:sz w:val="18"/>
                <w:szCs w:val="18"/>
              </w:rPr>
              <w:fldChar w:fldCharType="separate"/>
            </w:r>
            <w:r w:rsidR="00412E53">
              <w:rPr>
                <w:rFonts w:asciiTheme="majorHAnsi" w:hAnsiTheme="majorHAnsi"/>
                <w:b/>
                <w:bCs/>
                <w:noProof/>
                <w:sz w:val="18"/>
                <w:szCs w:val="18"/>
              </w:rPr>
              <w:t>3</w:t>
            </w:r>
            <w:r w:rsidRPr="004027A1">
              <w:rPr>
                <w:rFonts w:asciiTheme="majorHAnsi" w:hAnsiTheme="majorHAnsi"/>
                <w:b/>
                <w:bCs/>
                <w:sz w:val="18"/>
                <w:szCs w:val="18"/>
              </w:rPr>
              <w:fldChar w:fldCharType="end"/>
            </w:r>
          </w:p>
        </w:sdtContent>
      </w:sdt>
    </w:sdtContent>
  </w:sdt>
  <w:p w14:paraId="69095AAB" w14:textId="77777777" w:rsidR="008A0CBB" w:rsidRDefault="008A0CBB"/>
  <w:p w14:paraId="383DC61F" w14:textId="77777777" w:rsidR="008A0CBB" w:rsidRDefault="008A0C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925D" w14:textId="77777777" w:rsidR="005E5CBC" w:rsidRDefault="005E5CBC">
      <w:r>
        <w:separator/>
      </w:r>
    </w:p>
    <w:p w14:paraId="5B39F8CA" w14:textId="77777777" w:rsidR="005E5CBC" w:rsidRDefault="005E5CBC"/>
  </w:footnote>
  <w:footnote w:type="continuationSeparator" w:id="0">
    <w:p w14:paraId="5448DF23" w14:textId="77777777" w:rsidR="005E5CBC" w:rsidRDefault="005E5CBC">
      <w:r>
        <w:continuationSeparator/>
      </w:r>
    </w:p>
    <w:p w14:paraId="0AA52C31" w14:textId="77777777" w:rsidR="005E5CBC" w:rsidRDefault="005E5CBC"/>
  </w:footnote>
  <w:footnote w:id="1">
    <w:p w14:paraId="6DFB4BCF" w14:textId="77777777" w:rsidR="00DE754A" w:rsidRPr="00A60AD6" w:rsidRDefault="00DE754A" w:rsidP="00DE754A">
      <w:pPr>
        <w:rPr>
          <w:rFonts w:ascii="Times New Roman" w:hAnsi="Times New Roman" w:cs="Times New Roman"/>
          <w:sz w:val="18"/>
          <w:szCs w:val="18"/>
        </w:rPr>
      </w:pPr>
      <w:r w:rsidRPr="00A60AD6">
        <w:rPr>
          <w:rStyle w:val="Odwoanieprzypisudolnego"/>
          <w:sz w:val="18"/>
          <w:szCs w:val="18"/>
        </w:rPr>
        <w:footnoteRef/>
      </w:r>
      <w:r w:rsidRPr="00A60AD6">
        <w:rPr>
          <w:sz w:val="18"/>
          <w:szCs w:val="18"/>
        </w:rPr>
        <w:t xml:space="preserve"> </w:t>
      </w:r>
      <w:r>
        <w:rPr>
          <w:sz w:val="18"/>
          <w:szCs w:val="18"/>
        </w:rPr>
        <w:t xml:space="preserve"> </w:t>
      </w:r>
      <w:r w:rsidRPr="00DD711A">
        <w:rPr>
          <w:sz w:val="18"/>
          <w:szCs w:val="18"/>
        </w:rPr>
        <w:t>17 grudnia 2021 r. upływa termin transpozycji Dyrektywy Parlamentu Europejskiego i Rady UE 2019/1937 z dnia 23października 2019 r. w sprawie ochrony osób zgłaszających naruszenia prawa Unii (tzw. dyrektywa w sprawie ochrony sygnalistów)</w:t>
      </w:r>
    </w:p>
    <w:p w14:paraId="5C982AC6" w14:textId="77777777" w:rsidR="00DE754A" w:rsidRDefault="00DE754A" w:rsidP="00DE754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1349" w14:textId="6FCE6538" w:rsidR="004F24EF" w:rsidRPr="00D5014B" w:rsidRDefault="00F81F49" w:rsidP="00D5014B">
    <w:pPr>
      <w:pStyle w:val="Nagwek"/>
    </w:pPr>
    <w:r>
      <w:t xml:space="preserve">                                                                                                </w:t>
    </w:r>
    <w:r w:rsidR="006F5060">
      <w:t xml:space="preserve"> </w:t>
    </w:r>
    <w:r w:rsidR="00D5014B" w:rsidRPr="00CC6F72">
      <w:rPr>
        <w:rFonts w:asciiTheme="minorHAnsi" w:hAnsiTheme="minorHAnsi"/>
        <w:noProof/>
        <w:color w:val="1C2442"/>
      </w:rPr>
      <w:drawing>
        <wp:inline distT="0" distB="0" distL="0" distR="0" wp14:anchorId="09768818" wp14:editId="68BD648F">
          <wp:extent cx="1963973" cy="461729"/>
          <wp:effectExtent l="0" t="0" r="0" b="0"/>
          <wp:docPr id="2" name="Obraz 2" descr="D:\Dokumenty KPF\GRAFIKA\_ZPF_Identyfikacja wizualna\logo-zpf-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y KPF\GRAFIKA\_ZPF_Identyfikacja wizualna\logo-zpf-wmf.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095" cy="463638"/>
                  </a:xfrm>
                  <a:prstGeom prst="rect">
                    <a:avLst/>
                  </a:prstGeom>
                  <a:noFill/>
                  <a:ln>
                    <a:noFill/>
                  </a:ln>
                </pic:spPr>
              </pic:pic>
            </a:graphicData>
          </a:graphic>
        </wp:inline>
      </w:drawing>
    </w:r>
  </w:p>
  <w:p w14:paraId="736A11FC" w14:textId="77777777" w:rsidR="008A0CBB" w:rsidRDefault="008A0CBB"/>
  <w:p w14:paraId="0C624FD5" w14:textId="77777777" w:rsidR="008A0CBB" w:rsidRDefault="008A0C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A62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62590"/>
    <w:multiLevelType w:val="multilevel"/>
    <w:tmpl w:val="9D625442"/>
    <w:lvl w:ilvl="0">
      <w:start w:val="13"/>
      <w:numFmt w:val="decimal"/>
      <w:lvlText w:val="%1"/>
      <w:lvlJc w:val="left"/>
      <w:pPr>
        <w:tabs>
          <w:tab w:val="num" w:pos="2130"/>
        </w:tabs>
        <w:ind w:left="2130" w:hanging="2130"/>
      </w:pPr>
      <w:rPr>
        <w:rFonts w:cs="Times New Roman" w:hint="default"/>
      </w:rPr>
    </w:lvl>
    <w:lvl w:ilvl="1">
      <w:start w:val="15"/>
      <w:numFmt w:val="decimal"/>
      <w:lvlText w:val="%1.%2"/>
      <w:lvlJc w:val="left"/>
      <w:pPr>
        <w:tabs>
          <w:tab w:val="num" w:pos="2130"/>
        </w:tabs>
        <w:ind w:left="2130" w:hanging="2130"/>
      </w:pPr>
      <w:rPr>
        <w:rFonts w:cs="Times New Roman" w:hint="default"/>
      </w:rPr>
    </w:lvl>
    <w:lvl w:ilvl="2">
      <w:start w:val="1"/>
      <w:numFmt w:val="decimal"/>
      <w:lvlText w:val="%1.%2.%3"/>
      <w:lvlJc w:val="left"/>
      <w:pPr>
        <w:tabs>
          <w:tab w:val="num" w:pos="2130"/>
        </w:tabs>
        <w:ind w:left="2130" w:hanging="2130"/>
      </w:pPr>
      <w:rPr>
        <w:rFonts w:cs="Times New Roman" w:hint="default"/>
      </w:rPr>
    </w:lvl>
    <w:lvl w:ilvl="3">
      <w:start w:val="1"/>
      <w:numFmt w:val="decimal"/>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30"/>
        </w:tabs>
        <w:ind w:left="2130" w:hanging="213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F9D1F94"/>
    <w:multiLevelType w:val="hybridMultilevel"/>
    <w:tmpl w:val="37D0824A"/>
    <w:lvl w:ilvl="0" w:tplc="DE90ED02">
      <w:start w:val="1"/>
      <w:numFmt w:val="bullet"/>
      <w:lvlText w:val=""/>
      <w:lvlJc w:val="left"/>
      <w:pPr>
        <w:tabs>
          <w:tab w:val="num" w:pos="720"/>
        </w:tabs>
        <w:ind w:left="720" w:hanging="360"/>
      </w:pPr>
      <w:rPr>
        <w:rFonts w:ascii="Wingdings" w:hAnsi="Wingdings" w:hint="default"/>
      </w:rPr>
    </w:lvl>
    <w:lvl w:ilvl="1" w:tplc="2DC89D60">
      <w:start w:val="1"/>
      <w:numFmt w:val="bullet"/>
      <w:lvlText w:val=""/>
      <w:lvlJc w:val="left"/>
      <w:pPr>
        <w:tabs>
          <w:tab w:val="num" w:pos="1440"/>
        </w:tabs>
        <w:ind w:left="1440" w:hanging="360"/>
      </w:pPr>
      <w:rPr>
        <w:rFonts w:ascii="Wingdings" w:hAnsi="Wingdings" w:hint="default"/>
      </w:rPr>
    </w:lvl>
    <w:lvl w:ilvl="2" w:tplc="F500A3BC">
      <w:start w:val="1"/>
      <w:numFmt w:val="bullet"/>
      <w:lvlText w:val=""/>
      <w:lvlJc w:val="left"/>
      <w:pPr>
        <w:tabs>
          <w:tab w:val="num" w:pos="2160"/>
        </w:tabs>
        <w:ind w:left="2160" w:hanging="360"/>
      </w:pPr>
      <w:rPr>
        <w:rFonts w:ascii="Wingdings" w:hAnsi="Wingdings" w:hint="default"/>
      </w:rPr>
    </w:lvl>
    <w:lvl w:ilvl="3" w:tplc="F0FCBD8C">
      <w:start w:val="1"/>
      <w:numFmt w:val="bullet"/>
      <w:lvlText w:val=""/>
      <w:lvlJc w:val="left"/>
      <w:pPr>
        <w:tabs>
          <w:tab w:val="num" w:pos="2880"/>
        </w:tabs>
        <w:ind w:left="2880" w:hanging="360"/>
      </w:pPr>
      <w:rPr>
        <w:rFonts w:ascii="Wingdings" w:hAnsi="Wingdings" w:hint="default"/>
      </w:rPr>
    </w:lvl>
    <w:lvl w:ilvl="4" w:tplc="1F2E8CDE">
      <w:start w:val="1"/>
      <w:numFmt w:val="bullet"/>
      <w:lvlText w:val=""/>
      <w:lvlJc w:val="left"/>
      <w:pPr>
        <w:tabs>
          <w:tab w:val="num" w:pos="3600"/>
        </w:tabs>
        <w:ind w:left="3600" w:hanging="360"/>
      </w:pPr>
      <w:rPr>
        <w:rFonts w:ascii="Wingdings" w:hAnsi="Wingdings" w:hint="default"/>
      </w:rPr>
    </w:lvl>
    <w:lvl w:ilvl="5" w:tplc="8F32E480">
      <w:start w:val="1"/>
      <w:numFmt w:val="bullet"/>
      <w:lvlText w:val=""/>
      <w:lvlJc w:val="left"/>
      <w:pPr>
        <w:tabs>
          <w:tab w:val="num" w:pos="4320"/>
        </w:tabs>
        <w:ind w:left="4320" w:hanging="360"/>
      </w:pPr>
      <w:rPr>
        <w:rFonts w:ascii="Wingdings" w:hAnsi="Wingdings" w:hint="default"/>
      </w:rPr>
    </w:lvl>
    <w:lvl w:ilvl="6" w:tplc="924AACD2">
      <w:start w:val="1"/>
      <w:numFmt w:val="bullet"/>
      <w:lvlText w:val=""/>
      <w:lvlJc w:val="left"/>
      <w:pPr>
        <w:tabs>
          <w:tab w:val="num" w:pos="5040"/>
        </w:tabs>
        <w:ind w:left="5040" w:hanging="360"/>
      </w:pPr>
      <w:rPr>
        <w:rFonts w:ascii="Wingdings" w:hAnsi="Wingdings" w:hint="default"/>
      </w:rPr>
    </w:lvl>
    <w:lvl w:ilvl="7" w:tplc="8ABCF27A">
      <w:start w:val="1"/>
      <w:numFmt w:val="bullet"/>
      <w:lvlText w:val=""/>
      <w:lvlJc w:val="left"/>
      <w:pPr>
        <w:tabs>
          <w:tab w:val="num" w:pos="5760"/>
        </w:tabs>
        <w:ind w:left="5760" w:hanging="360"/>
      </w:pPr>
      <w:rPr>
        <w:rFonts w:ascii="Wingdings" w:hAnsi="Wingdings" w:hint="default"/>
      </w:rPr>
    </w:lvl>
    <w:lvl w:ilvl="8" w:tplc="CB2CF5FA">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D4F5F"/>
    <w:multiLevelType w:val="hybridMultilevel"/>
    <w:tmpl w:val="536E1742"/>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42ADE"/>
    <w:multiLevelType w:val="multilevel"/>
    <w:tmpl w:val="99E44FEA"/>
    <w:lvl w:ilvl="0">
      <w:start w:val="12"/>
      <w:numFmt w:val="decimal"/>
      <w:lvlText w:val="%1"/>
      <w:lvlJc w:val="left"/>
      <w:pPr>
        <w:tabs>
          <w:tab w:val="num" w:pos="2175"/>
        </w:tabs>
        <w:ind w:left="2175" w:hanging="2175"/>
      </w:pPr>
      <w:rPr>
        <w:rFonts w:cs="Times New Roman" w:hint="default"/>
      </w:rPr>
    </w:lvl>
    <w:lvl w:ilvl="1">
      <w:start w:val="3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5" w15:restartNumberingAfterBreak="0">
    <w:nsid w:val="18A65DD3"/>
    <w:multiLevelType w:val="multilevel"/>
    <w:tmpl w:val="83B08D02"/>
    <w:lvl w:ilvl="0">
      <w:start w:val="12"/>
      <w:numFmt w:val="decimal"/>
      <w:lvlText w:val="%1"/>
      <w:lvlJc w:val="left"/>
      <w:pPr>
        <w:tabs>
          <w:tab w:val="num" w:pos="2175"/>
        </w:tabs>
        <w:ind w:left="2175" w:hanging="2175"/>
      </w:pPr>
      <w:rPr>
        <w:rFonts w:cs="Times New Roman" w:hint="default"/>
      </w:rPr>
    </w:lvl>
    <w:lvl w:ilvl="1">
      <w:start w:val="4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6" w15:restartNumberingAfterBreak="0">
    <w:nsid w:val="19A05079"/>
    <w:multiLevelType w:val="hybridMultilevel"/>
    <w:tmpl w:val="144AA0A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CF6739"/>
    <w:multiLevelType w:val="hybridMultilevel"/>
    <w:tmpl w:val="97F631AC"/>
    <w:lvl w:ilvl="0" w:tplc="04150005">
      <w:start w:val="1"/>
      <w:numFmt w:val="bullet"/>
      <w:lvlText w:val=""/>
      <w:lvlJc w:val="left"/>
      <w:pPr>
        <w:tabs>
          <w:tab w:val="num" w:pos="3168"/>
        </w:tabs>
        <w:ind w:left="3168" w:hanging="360"/>
      </w:pPr>
      <w:rPr>
        <w:rFonts w:ascii="Wingdings" w:hAnsi="Wingdings" w:hint="default"/>
      </w:rPr>
    </w:lvl>
    <w:lvl w:ilvl="1" w:tplc="04150003">
      <w:start w:val="1"/>
      <w:numFmt w:val="bullet"/>
      <w:lvlText w:val="o"/>
      <w:lvlJc w:val="left"/>
      <w:pPr>
        <w:tabs>
          <w:tab w:val="num" w:pos="3888"/>
        </w:tabs>
        <w:ind w:left="3888" w:hanging="360"/>
      </w:pPr>
      <w:rPr>
        <w:rFonts w:ascii="Courier New" w:hAnsi="Courier New" w:hint="default"/>
      </w:rPr>
    </w:lvl>
    <w:lvl w:ilvl="2" w:tplc="04150005" w:tentative="1">
      <w:start w:val="1"/>
      <w:numFmt w:val="bullet"/>
      <w:lvlText w:val=""/>
      <w:lvlJc w:val="left"/>
      <w:pPr>
        <w:tabs>
          <w:tab w:val="num" w:pos="4608"/>
        </w:tabs>
        <w:ind w:left="4608" w:hanging="360"/>
      </w:pPr>
      <w:rPr>
        <w:rFonts w:ascii="Wingdings" w:hAnsi="Wingdings" w:hint="default"/>
      </w:rPr>
    </w:lvl>
    <w:lvl w:ilvl="3" w:tplc="04150001" w:tentative="1">
      <w:start w:val="1"/>
      <w:numFmt w:val="bullet"/>
      <w:lvlText w:val=""/>
      <w:lvlJc w:val="left"/>
      <w:pPr>
        <w:tabs>
          <w:tab w:val="num" w:pos="5328"/>
        </w:tabs>
        <w:ind w:left="5328" w:hanging="360"/>
      </w:pPr>
      <w:rPr>
        <w:rFonts w:ascii="Symbol" w:hAnsi="Symbol" w:hint="default"/>
      </w:rPr>
    </w:lvl>
    <w:lvl w:ilvl="4" w:tplc="04150003" w:tentative="1">
      <w:start w:val="1"/>
      <w:numFmt w:val="bullet"/>
      <w:lvlText w:val="o"/>
      <w:lvlJc w:val="left"/>
      <w:pPr>
        <w:tabs>
          <w:tab w:val="num" w:pos="6048"/>
        </w:tabs>
        <w:ind w:left="6048" w:hanging="360"/>
      </w:pPr>
      <w:rPr>
        <w:rFonts w:ascii="Courier New" w:hAnsi="Courier New" w:hint="default"/>
      </w:rPr>
    </w:lvl>
    <w:lvl w:ilvl="5" w:tplc="04150005" w:tentative="1">
      <w:start w:val="1"/>
      <w:numFmt w:val="bullet"/>
      <w:lvlText w:val=""/>
      <w:lvlJc w:val="left"/>
      <w:pPr>
        <w:tabs>
          <w:tab w:val="num" w:pos="6768"/>
        </w:tabs>
        <w:ind w:left="6768" w:hanging="360"/>
      </w:pPr>
      <w:rPr>
        <w:rFonts w:ascii="Wingdings" w:hAnsi="Wingdings" w:hint="default"/>
      </w:rPr>
    </w:lvl>
    <w:lvl w:ilvl="6" w:tplc="04150001" w:tentative="1">
      <w:start w:val="1"/>
      <w:numFmt w:val="bullet"/>
      <w:lvlText w:val=""/>
      <w:lvlJc w:val="left"/>
      <w:pPr>
        <w:tabs>
          <w:tab w:val="num" w:pos="7488"/>
        </w:tabs>
        <w:ind w:left="7488" w:hanging="360"/>
      </w:pPr>
      <w:rPr>
        <w:rFonts w:ascii="Symbol" w:hAnsi="Symbol" w:hint="default"/>
      </w:rPr>
    </w:lvl>
    <w:lvl w:ilvl="7" w:tplc="04150003" w:tentative="1">
      <w:start w:val="1"/>
      <w:numFmt w:val="bullet"/>
      <w:lvlText w:val="o"/>
      <w:lvlJc w:val="left"/>
      <w:pPr>
        <w:tabs>
          <w:tab w:val="num" w:pos="8208"/>
        </w:tabs>
        <w:ind w:left="8208" w:hanging="360"/>
      </w:pPr>
      <w:rPr>
        <w:rFonts w:ascii="Courier New" w:hAnsi="Courier New" w:hint="default"/>
      </w:rPr>
    </w:lvl>
    <w:lvl w:ilvl="8" w:tplc="04150005" w:tentative="1">
      <w:start w:val="1"/>
      <w:numFmt w:val="bullet"/>
      <w:lvlText w:val=""/>
      <w:lvlJc w:val="left"/>
      <w:pPr>
        <w:tabs>
          <w:tab w:val="num" w:pos="8928"/>
        </w:tabs>
        <w:ind w:left="8928" w:hanging="360"/>
      </w:pPr>
      <w:rPr>
        <w:rFonts w:ascii="Wingdings" w:hAnsi="Wingdings" w:hint="default"/>
      </w:rPr>
    </w:lvl>
  </w:abstractNum>
  <w:abstractNum w:abstractNumId="8" w15:restartNumberingAfterBreak="0">
    <w:nsid w:val="2B261F02"/>
    <w:multiLevelType w:val="hybridMultilevel"/>
    <w:tmpl w:val="B12C7C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DE145CD"/>
    <w:multiLevelType w:val="multilevel"/>
    <w:tmpl w:val="F466950E"/>
    <w:lvl w:ilvl="0">
      <w:start w:val="13"/>
      <w:numFmt w:val="decimal"/>
      <w:lvlText w:val="%1"/>
      <w:lvlJc w:val="left"/>
      <w:pPr>
        <w:tabs>
          <w:tab w:val="num" w:pos="555"/>
        </w:tabs>
        <w:ind w:left="555" w:hanging="555"/>
      </w:pPr>
      <w:rPr>
        <w:rFonts w:cs="Times New Roman" w:hint="default"/>
      </w:rPr>
    </w:lvl>
    <w:lvl w:ilvl="1">
      <w:start w:val="30"/>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0EB5B00"/>
    <w:multiLevelType w:val="hybridMultilevel"/>
    <w:tmpl w:val="D750BD4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83E6AD8"/>
    <w:multiLevelType w:val="hybridMultilevel"/>
    <w:tmpl w:val="398AC8E4"/>
    <w:lvl w:ilvl="0" w:tplc="7BA008B6">
      <w:start w:val="1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906A02"/>
    <w:multiLevelType w:val="hybridMultilevel"/>
    <w:tmpl w:val="1BC6D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334E18"/>
    <w:multiLevelType w:val="multilevel"/>
    <w:tmpl w:val="849862FE"/>
    <w:lvl w:ilvl="0">
      <w:start w:val="15"/>
      <w:numFmt w:val="decimal"/>
      <w:lvlText w:val="%1"/>
      <w:lvlJc w:val="left"/>
      <w:pPr>
        <w:tabs>
          <w:tab w:val="num" w:pos="4065"/>
        </w:tabs>
        <w:ind w:left="4065" w:hanging="4065"/>
      </w:pPr>
      <w:rPr>
        <w:rFonts w:cs="Times New Roman" w:hint="default"/>
        <w:b/>
        <w:color w:val="FFFFFF"/>
      </w:rPr>
    </w:lvl>
    <w:lvl w:ilvl="1">
      <w:start w:val="45"/>
      <w:numFmt w:val="decimal"/>
      <w:lvlText w:val="%1.%2"/>
      <w:lvlJc w:val="left"/>
      <w:pPr>
        <w:tabs>
          <w:tab w:val="num" w:pos="4065"/>
        </w:tabs>
        <w:ind w:left="4065" w:hanging="4065"/>
      </w:pPr>
      <w:rPr>
        <w:rFonts w:cs="Times New Roman" w:hint="default"/>
        <w:b/>
        <w:color w:val="FFFFFF"/>
      </w:rPr>
    </w:lvl>
    <w:lvl w:ilvl="2">
      <w:start w:val="1"/>
      <w:numFmt w:val="decimal"/>
      <w:lvlText w:val="%1.%2.%3"/>
      <w:lvlJc w:val="left"/>
      <w:pPr>
        <w:tabs>
          <w:tab w:val="num" w:pos="4065"/>
        </w:tabs>
        <w:ind w:left="4065" w:hanging="4065"/>
      </w:pPr>
      <w:rPr>
        <w:rFonts w:cs="Times New Roman" w:hint="default"/>
        <w:b/>
        <w:color w:val="FFFFFF"/>
      </w:rPr>
    </w:lvl>
    <w:lvl w:ilvl="3">
      <w:start w:val="1"/>
      <w:numFmt w:val="decimal"/>
      <w:lvlText w:val="%1.%2.%3.%4"/>
      <w:lvlJc w:val="left"/>
      <w:pPr>
        <w:tabs>
          <w:tab w:val="num" w:pos="4065"/>
        </w:tabs>
        <w:ind w:left="4065" w:hanging="4065"/>
      </w:pPr>
      <w:rPr>
        <w:rFonts w:cs="Times New Roman" w:hint="default"/>
        <w:b/>
        <w:color w:val="FFFFFF"/>
      </w:rPr>
    </w:lvl>
    <w:lvl w:ilvl="4">
      <w:start w:val="1"/>
      <w:numFmt w:val="decimal"/>
      <w:lvlText w:val="%1.%2.%3.%4.%5"/>
      <w:lvlJc w:val="left"/>
      <w:pPr>
        <w:tabs>
          <w:tab w:val="num" w:pos="4065"/>
        </w:tabs>
        <w:ind w:left="4065" w:hanging="4065"/>
      </w:pPr>
      <w:rPr>
        <w:rFonts w:cs="Times New Roman" w:hint="default"/>
        <w:b/>
        <w:color w:val="FFFFFF"/>
      </w:rPr>
    </w:lvl>
    <w:lvl w:ilvl="5">
      <w:start w:val="1"/>
      <w:numFmt w:val="decimal"/>
      <w:lvlText w:val="%1.%2.%3.%4.%5.%6"/>
      <w:lvlJc w:val="left"/>
      <w:pPr>
        <w:tabs>
          <w:tab w:val="num" w:pos="4065"/>
        </w:tabs>
        <w:ind w:left="4065" w:hanging="4065"/>
      </w:pPr>
      <w:rPr>
        <w:rFonts w:cs="Times New Roman" w:hint="default"/>
        <w:b/>
        <w:color w:val="FFFFFF"/>
      </w:rPr>
    </w:lvl>
    <w:lvl w:ilvl="6">
      <w:start w:val="1"/>
      <w:numFmt w:val="decimal"/>
      <w:lvlText w:val="%1.%2.%3.%4.%5.%6.%7"/>
      <w:lvlJc w:val="left"/>
      <w:pPr>
        <w:tabs>
          <w:tab w:val="num" w:pos="4065"/>
        </w:tabs>
        <w:ind w:left="4065" w:hanging="4065"/>
      </w:pPr>
      <w:rPr>
        <w:rFonts w:cs="Times New Roman" w:hint="default"/>
        <w:b/>
        <w:color w:val="FFFFFF"/>
      </w:rPr>
    </w:lvl>
    <w:lvl w:ilvl="7">
      <w:start w:val="1"/>
      <w:numFmt w:val="decimal"/>
      <w:lvlText w:val="%1.%2.%3.%4.%5.%6.%7.%8"/>
      <w:lvlJc w:val="left"/>
      <w:pPr>
        <w:tabs>
          <w:tab w:val="num" w:pos="4065"/>
        </w:tabs>
        <w:ind w:left="4065" w:hanging="4065"/>
      </w:pPr>
      <w:rPr>
        <w:rFonts w:cs="Times New Roman" w:hint="default"/>
        <w:b/>
        <w:color w:val="FFFFFF"/>
      </w:rPr>
    </w:lvl>
    <w:lvl w:ilvl="8">
      <w:start w:val="1"/>
      <w:numFmt w:val="decimal"/>
      <w:lvlText w:val="%1.%2.%3.%4.%5.%6.%7.%8.%9"/>
      <w:lvlJc w:val="left"/>
      <w:pPr>
        <w:tabs>
          <w:tab w:val="num" w:pos="4065"/>
        </w:tabs>
        <w:ind w:left="4065" w:hanging="4065"/>
      </w:pPr>
      <w:rPr>
        <w:rFonts w:cs="Times New Roman" w:hint="default"/>
        <w:b/>
        <w:color w:val="FFFFFF"/>
      </w:rPr>
    </w:lvl>
  </w:abstractNum>
  <w:abstractNum w:abstractNumId="14" w15:restartNumberingAfterBreak="0">
    <w:nsid w:val="449D6DB5"/>
    <w:multiLevelType w:val="hybridMultilevel"/>
    <w:tmpl w:val="C870F9D6"/>
    <w:lvl w:ilvl="0" w:tplc="04150005">
      <w:start w:val="1"/>
      <w:numFmt w:val="bullet"/>
      <w:lvlText w:val=""/>
      <w:lvlJc w:val="left"/>
      <w:pPr>
        <w:tabs>
          <w:tab w:val="num" w:pos="3660"/>
        </w:tabs>
        <w:ind w:left="3660" w:hanging="360"/>
      </w:pPr>
      <w:rPr>
        <w:rFonts w:ascii="Wingdings" w:hAnsi="Wingdings" w:hint="default"/>
      </w:rPr>
    </w:lvl>
    <w:lvl w:ilvl="1" w:tplc="04150003" w:tentative="1">
      <w:start w:val="1"/>
      <w:numFmt w:val="bullet"/>
      <w:lvlText w:val="o"/>
      <w:lvlJc w:val="left"/>
      <w:pPr>
        <w:tabs>
          <w:tab w:val="num" w:pos="4380"/>
        </w:tabs>
        <w:ind w:left="4380" w:hanging="360"/>
      </w:pPr>
      <w:rPr>
        <w:rFonts w:ascii="Courier New" w:hAnsi="Courier New" w:hint="default"/>
      </w:rPr>
    </w:lvl>
    <w:lvl w:ilvl="2" w:tplc="04150005" w:tentative="1">
      <w:start w:val="1"/>
      <w:numFmt w:val="bullet"/>
      <w:lvlText w:val=""/>
      <w:lvlJc w:val="left"/>
      <w:pPr>
        <w:tabs>
          <w:tab w:val="num" w:pos="5100"/>
        </w:tabs>
        <w:ind w:left="5100" w:hanging="360"/>
      </w:pPr>
      <w:rPr>
        <w:rFonts w:ascii="Wingdings" w:hAnsi="Wingdings" w:hint="default"/>
      </w:rPr>
    </w:lvl>
    <w:lvl w:ilvl="3" w:tplc="04150001" w:tentative="1">
      <w:start w:val="1"/>
      <w:numFmt w:val="bullet"/>
      <w:lvlText w:val=""/>
      <w:lvlJc w:val="left"/>
      <w:pPr>
        <w:tabs>
          <w:tab w:val="num" w:pos="5820"/>
        </w:tabs>
        <w:ind w:left="5820" w:hanging="360"/>
      </w:pPr>
      <w:rPr>
        <w:rFonts w:ascii="Symbol" w:hAnsi="Symbol" w:hint="default"/>
      </w:rPr>
    </w:lvl>
    <w:lvl w:ilvl="4" w:tplc="04150003" w:tentative="1">
      <w:start w:val="1"/>
      <w:numFmt w:val="bullet"/>
      <w:lvlText w:val="o"/>
      <w:lvlJc w:val="left"/>
      <w:pPr>
        <w:tabs>
          <w:tab w:val="num" w:pos="6540"/>
        </w:tabs>
        <w:ind w:left="6540" w:hanging="360"/>
      </w:pPr>
      <w:rPr>
        <w:rFonts w:ascii="Courier New" w:hAnsi="Courier New" w:hint="default"/>
      </w:rPr>
    </w:lvl>
    <w:lvl w:ilvl="5" w:tplc="04150005" w:tentative="1">
      <w:start w:val="1"/>
      <w:numFmt w:val="bullet"/>
      <w:lvlText w:val=""/>
      <w:lvlJc w:val="left"/>
      <w:pPr>
        <w:tabs>
          <w:tab w:val="num" w:pos="7260"/>
        </w:tabs>
        <w:ind w:left="7260" w:hanging="360"/>
      </w:pPr>
      <w:rPr>
        <w:rFonts w:ascii="Wingdings" w:hAnsi="Wingdings" w:hint="default"/>
      </w:rPr>
    </w:lvl>
    <w:lvl w:ilvl="6" w:tplc="04150001" w:tentative="1">
      <w:start w:val="1"/>
      <w:numFmt w:val="bullet"/>
      <w:lvlText w:val=""/>
      <w:lvlJc w:val="left"/>
      <w:pPr>
        <w:tabs>
          <w:tab w:val="num" w:pos="7980"/>
        </w:tabs>
        <w:ind w:left="7980" w:hanging="360"/>
      </w:pPr>
      <w:rPr>
        <w:rFonts w:ascii="Symbol" w:hAnsi="Symbol" w:hint="default"/>
      </w:rPr>
    </w:lvl>
    <w:lvl w:ilvl="7" w:tplc="04150003" w:tentative="1">
      <w:start w:val="1"/>
      <w:numFmt w:val="bullet"/>
      <w:lvlText w:val="o"/>
      <w:lvlJc w:val="left"/>
      <w:pPr>
        <w:tabs>
          <w:tab w:val="num" w:pos="8700"/>
        </w:tabs>
        <w:ind w:left="8700" w:hanging="360"/>
      </w:pPr>
      <w:rPr>
        <w:rFonts w:ascii="Courier New" w:hAnsi="Courier New" w:hint="default"/>
      </w:rPr>
    </w:lvl>
    <w:lvl w:ilvl="8" w:tplc="04150005" w:tentative="1">
      <w:start w:val="1"/>
      <w:numFmt w:val="bullet"/>
      <w:lvlText w:val=""/>
      <w:lvlJc w:val="left"/>
      <w:pPr>
        <w:tabs>
          <w:tab w:val="num" w:pos="9420"/>
        </w:tabs>
        <w:ind w:left="9420" w:hanging="360"/>
      </w:pPr>
      <w:rPr>
        <w:rFonts w:ascii="Wingdings" w:hAnsi="Wingdings" w:hint="default"/>
      </w:rPr>
    </w:lvl>
  </w:abstractNum>
  <w:abstractNum w:abstractNumId="15" w15:restartNumberingAfterBreak="0">
    <w:nsid w:val="4862277C"/>
    <w:multiLevelType w:val="multilevel"/>
    <w:tmpl w:val="D9948DA6"/>
    <w:lvl w:ilvl="0">
      <w:start w:val="13"/>
      <w:numFmt w:val="decimal"/>
      <w:lvlText w:val="%1"/>
      <w:lvlJc w:val="left"/>
      <w:pPr>
        <w:tabs>
          <w:tab w:val="num" w:pos="360"/>
        </w:tabs>
        <w:ind w:left="360" w:hanging="360"/>
      </w:pPr>
      <w:rPr>
        <w:rFonts w:cs="Times New Roman" w:hint="default"/>
      </w:rPr>
    </w:lvl>
    <w:lvl w:ilvl="1">
      <w:start w:val="4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BB93E4C"/>
    <w:multiLevelType w:val="hybridMultilevel"/>
    <w:tmpl w:val="7AD6CD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1574773"/>
    <w:multiLevelType w:val="hybridMultilevel"/>
    <w:tmpl w:val="DC9285BC"/>
    <w:lvl w:ilvl="0" w:tplc="65381184">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F4ED7"/>
    <w:multiLevelType w:val="multilevel"/>
    <w:tmpl w:val="F3746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B02D87"/>
    <w:multiLevelType w:val="multilevel"/>
    <w:tmpl w:val="A798FB0A"/>
    <w:lvl w:ilvl="0">
      <w:start w:val="13"/>
      <w:numFmt w:val="decimal"/>
      <w:lvlText w:val="%1"/>
      <w:lvlJc w:val="left"/>
      <w:pPr>
        <w:tabs>
          <w:tab w:val="num" w:pos="495"/>
        </w:tabs>
        <w:ind w:left="495" w:hanging="495"/>
      </w:pPr>
      <w:rPr>
        <w:rFonts w:cs="Times New Roman" w:hint="default"/>
      </w:rPr>
    </w:lvl>
    <w:lvl w:ilvl="1">
      <w:start w:val="30"/>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9165DC2"/>
    <w:multiLevelType w:val="hybridMultilevel"/>
    <w:tmpl w:val="707EF52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2605E2"/>
    <w:multiLevelType w:val="hybridMultilevel"/>
    <w:tmpl w:val="DCD09C5E"/>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021CD"/>
    <w:multiLevelType w:val="hybridMultilevel"/>
    <w:tmpl w:val="CDD623DE"/>
    <w:lvl w:ilvl="0" w:tplc="E36A018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CB6F76"/>
    <w:multiLevelType w:val="hybridMultilevel"/>
    <w:tmpl w:val="C41624EA"/>
    <w:lvl w:ilvl="0" w:tplc="8A96069E">
      <w:start w:val="1"/>
      <w:numFmt w:val="bullet"/>
      <w:lvlText w:val=""/>
      <w:lvlJc w:val="left"/>
      <w:pPr>
        <w:tabs>
          <w:tab w:val="num" w:pos="2844"/>
        </w:tabs>
        <w:ind w:left="2844" w:hanging="360"/>
      </w:pPr>
      <w:rPr>
        <w:rFonts w:ascii="Symbol" w:hAnsi="Symbol" w:hint="default"/>
        <w:sz w:val="16"/>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24" w15:restartNumberingAfterBreak="0">
    <w:nsid w:val="65E55CF2"/>
    <w:multiLevelType w:val="hybridMultilevel"/>
    <w:tmpl w:val="F3746D58"/>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7348C6"/>
    <w:multiLevelType w:val="hybridMultilevel"/>
    <w:tmpl w:val="4002E3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6CEF4C51"/>
    <w:multiLevelType w:val="multilevel"/>
    <w:tmpl w:val="C07E43F8"/>
    <w:lvl w:ilvl="0">
      <w:start w:val="13"/>
      <w:numFmt w:val="decimal"/>
      <w:lvlText w:val="%1"/>
      <w:lvlJc w:val="left"/>
      <w:pPr>
        <w:tabs>
          <w:tab w:val="num" w:pos="555"/>
        </w:tabs>
        <w:ind w:left="555" w:hanging="555"/>
      </w:pPr>
      <w:rPr>
        <w:rFonts w:cs="Times New Roman" w:hint="default"/>
      </w:rPr>
    </w:lvl>
    <w:lvl w:ilvl="1">
      <w:start w:val="35"/>
      <w:numFmt w:val="decimal"/>
      <w:lvlText w:val="%1.%2"/>
      <w:lvlJc w:val="left"/>
      <w:pPr>
        <w:tabs>
          <w:tab w:val="num" w:pos="555"/>
        </w:tabs>
        <w:ind w:left="555" w:hanging="555"/>
      </w:pPr>
      <w:rPr>
        <w:rFonts w:cs="Times New Roman" w:hint="default"/>
        <w:b/>
        <w:color w:val="00008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F613B91"/>
    <w:multiLevelType w:val="multilevel"/>
    <w:tmpl w:val="DCD09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6C77C8"/>
    <w:multiLevelType w:val="hybridMultilevel"/>
    <w:tmpl w:val="2DDCAE9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811EAE"/>
    <w:multiLevelType w:val="hybridMultilevel"/>
    <w:tmpl w:val="7B9C980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466A0F"/>
    <w:multiLevelType w:val="hybridMultilevel"/>
    <w:tmpl w:val="43081140"/>
    <w:lvl w:ilvl="0" w:tplc="F6220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822D15"/>
    <w:multiLevelType w:val="hybridMultilevel"/>
    <w:tmpl w:val="9B34C698"/>
    <w:lvl w:ilvl="0" w:tplc="3C5C102C">
      <w:start w:val="1"/>
      <w:numFmt w:val="bullet"/>
      <w:lvlText w:val=""/>
      <w:lvlJc w:val="left"/>
      <w:pPr>
        <w:tabs>
          <w:tab w:val="num" w:pos="1491"/>
        </w:tabs>
        <w:ind w:left="1491" w:hanging="360"/>
      </w:pPr>
      <w:rPr>
        <w:rFonts w:ascii="Symbol" w:hAnsi="Symbol" w:hint="default"/>
        <w:color w:val="auto"/>
      </w:rPr>
    </w:lvl>
    <w:lvl w:ilvl="1" w:tplc="04150003" w:tentative="1">
      <w:start w:val="1"/>
      <w:numFmt w:val="bullet"/>
      <w:lvlText w:val="o"/>
      <w:lvlJc w:val="left"/>
      <w:pPr>
        <w:tabs>
          <w:tab w:val="num" w:pos="1491"/>
        </w:tabs>
        <w:ind w:left="1491" w:hanging="360"/>
      </w:pPr>
      <w:rPr>
        <w:rFonts w:ascii="Courier New" w:hAnsi="Courier New" w:cs="Courier New" w:hint="default"/>
      </w:rPr>
    </w:lvl>
    <w:lvl w:ilvl="2" w:tplc="04150005" w:tentative="1">
      <w:start w:val="1"/>
      <w:numFmt w:val="bullet"/>
      <w:lvlText w:val=""/>
      <w:lvlJc w:val="left"/>
      <w:pPr>
        <w:tabs>
          <w:tab w:val="num" w:pos="2211"/>
        </w:tabs>
        <w:ind w:left="2211" w:hanging="360"/>
      </w:pPr>
      <w:rPr>
        <w:rFonts w:ascii="Wingdings" w:hAnsi="Wingdings" w:hint="default"/>
      </w:rPr>
    </w:lvl>
    <w:lvl w:ilvl="3" w:tplc="04150001" w:tentative="1">
      <w:start w:val="1"/>
      <w:numFmt w:val="bullet"/>
      <w:lvlText w:val=""/>
      <w:lvlJc w:val="left"/>
      <w:pPr>
        <w:tabs>
          <w:tab w:val="num" w:pos="2931"/>
        </w:tabs>
        <w:ind w:left="2931" w:hanging="360"/>
      </w:pPr>
      <w:rPr>
        <w:rFonts w:ascii="Symbol" w:hAnsi="Symbol" w:hint="default"/>
      </w:rPr>
    </w:lvl>
    <w:lvl w:ilvl="4" w:tplc="04150003" w:tentative="1">
      <w:start w:val="1"/>
      <w:numFmt w:val="bullet"/>
      <w:lvlText w:val="o"/>
      <w:lvlJc w:val="left"/>
      <w:pPr>
        <w:tabs>
          <w:tab w:val="num" w:pos="3651"/>
        </w:tabs>
        <w:ind w:left="3651" w:hanging="360"/>
      </w:pPr>
      <w:rPr>
        <w:rFonts w:ascii="Courier New" w:hAnsi="Courier New" w:cs="Courier New" w:hint="default"/>
      </w:rPr>
    </w:lvl>
    <w:lvl w:ilvl="5" w:tplc="04150005" w:tentative="1">
      <w:start w:val="1"/>
      <w:numFmt w:val="bullet"/>
      <w:lvlText w:val=""/>
      <w:lvlJc w:val="left"/>
      <w:pPr>
        <w:tabs>
          <w:tab w:val="num" w:pos="4371"/>
        </w:tabs>
        <w:ind w:left="4371" w:hanging="360"/>
      </w:pPr>
      <w:rPr>
        <w:rFonts w:ascii="Wingdings" w:hAnsi="Wingdings" w:hint="default"/>
      </w:rPr>
    </w:lvl>
    <w:lvl w:ilvl="6" w:tplc="04150001" w:tentative="1">
      <w:start w:val="1"/>
      <w:numFmt w:val="bullet"/>
      <w:lvlText w:val=""/>
      <w:lvlJc w:val="left"/>
      <w:pPr>
        <w:tabs>
          <w:tab w:val="num" w:pos="5091"/>
        </w:tabs>
        <w:ind w:left="5091" w:hanging="360"/>
      </w:pPr>
      <w:rPr>
        <w:rFonts w:ascii="Symbol" w:hAnsi="Symbol" w:hint="default"/>
      </w:rPr>
    </w:lvl>
    <w:lvl w:ilvl="7" w:tplc="04150003" w:tentative="1">
      <w:start w:val="1"/>
      <w:numFmt w:val="bullet"/>
      <w:lvlText w:val="o"/>
      <w:lvlJc w:val="left"/>
      <w:pPr>
        <w:tabs>
          <w:tab w:val="num" w:pos="5811"/>
        </w:tabs>
        <w:ind w:left="5811" w:hanging="360"/>
      </w:pPr>
      <w:rPr>
        <w:rFonts w:ascii="Courier New" w:hAnsi="Courier New" w:cs="Courier New" w:hint="default"/>
      </w:rPr>
    </w:lvl>
    <w:lvl w:ilvl="8" w:tplc="04150005" w:tentative="1">
      <w:start w:val="1"/>
      <w:numFmt w:val="bullet"/>
      <w:lvlText w:val=""/>
      <w:lvlJc w:val="left"/>
      <w:pPr>
        <w:tabs>
          <w:tab w:val="num" w:pos="6531"/>
        </w:tabs>
        <w:ind w:left="6531" w:hanging="360"/>
      </w:pPr>
      <w:rPr>
        <w:rFonts w:ascii="Wingdings" w:hAnsi="Wingdings" w:hint="default"/>
      </w:rPr>
    </w:lvl>
  </w:abstractNum>
  <w:abstractNum w:abstractNumId="32" w15:restartNumberingAfterBreak="0">
    <w:nsid w:val="7DAB5CB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7F1342F2"/>
    <w:multiLevelType w:val="hybridMultilevel"/>
    <w:tmpl w:val="EB7CBC9A"/>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7"/>
  </w:num>
  <w:num w:numId="3">
    <w:abstractNumId w:val="4"/>
  </w:num>
  <w:num w:numId="4">
    <w:abstractNumId w:val="5"/>
  </w:num>
  <w:num w:numId="5">
    <w:abstractNumId w:val="15"/>
  </w:num>
  <w:num w:numId="6">
    <w:abstractNumId w:val="19"/>
  </w:num>
  <w:num w:numId="7">
    <w:abstractNumId w:val="1"/>
  </w:num>
  <w:num w:numId="8">
    <w:abstractNumId w:val="11"/>
  </w:num>
  <w:num w:numId="9">
    <w:abstractNumId w:val="9"/>
  </w:num>
  <w:num w:numId="10">
    <w:abstractNumId w:val="26"/>
  </w:num>
  <w:num w:numId="11">
    <w:abstractNumId w:val="14"/>
  </w:num>
  <w:num w:numId="12">
    <w:abstractNumId w:val="24"/>
  </w:num>
  <w:num w:numId="13">
    <w:abstractNumId w:val="18"/>
  </w:num>
  <w:num w:numId="14">
    <w:abstractNumId w:val="21"/>
  </w:num>
  <w:num w:numId="15">
    <w:abstractNumId w:val="27"/>
  </w:num>
  <w:num w:numId="16">
    <w:abstractNumId w:val="28"/>
  </w:num>
  <w:num w:numId="17">
    <w:abstractNumId w:val="22"/>
  </w:num>
  <w:num w:numId="18">
    <w:abstractNumId w:val="13"/>
  </w:num>
  <w:num w:numId="19">
    <w:abstractNumId w:val="23"/>
  </w:num>
  <w:num w:numId="20">
    <w:abstractNumId w:val="17"/>
  </w:num>
  <w:num w:numId="21">
    <w:abstractNumId w:val="29"/>
  </w:num>
  <w:num w:numId="22">
    <w:abstractNumId w:val="3"/>
  </w:num>
  <w:num w:numId="23">
    <w:abstractNumId w:val="20"/>
  </w:num>
  <w:num w:numId="24">
    <w:abstractNumId w:val="33"/>
  </w:num>
  <w:num w:numId="25">
    <w:abstractNumId w:val="6"/>
  </w:num>
  <w:num w:numId="26">
    <w:abstractNumId w:val="0"/>
  </w:num>
  <w:num w:numId="27">
    <w:abstractNumId w:val="25"/>
  </w:num>
  <w:num w:numId="28">
    <w:abstractNumId w:val="30"/>
  </w:num>
  <w:num w:numId="29">
    <w:abstractNumId w:val="31"/>
  </w:num>
  <w:num w:numId="30">
    <w:abstractNumId w:val="10"/>
  </w:num>
  <w:num w:numId="31">
    <w:abstractNumId w:val="12"/>
  </w:num>
  <w:num w:numId="32">
    <w:abstractNumId w:val="16"/>
  </w:num>
  <w:num w:numId="33">
    <w:abstractNumId w:val="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onsecutiveHyphenLimit w:val="3"/>
  <w:hyphenationZone w:val="425"/>
  <w:doNotHyphenateCap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A4"/>
    <w:rsid w:val="00000377"/>
    <w:rsid w:val="00001F48"/>
    <w:rsid w:val="00007920"/>
    <w:rsid w:val="000121D3"/>
    <w:rsid w:val="000126CB"/>
    <w:rsid w:val="00015F64"/>
    <w:rsid w:val="00017B8D"/>
    <w:rsid w:val="000207BC"/>
    <w:rsid w:val="000211E4"/>
    <w:rsid w:val="0003009B"/>
    <w:rsid w:val="00032C9A"/>
    <w:rsid w:val="00032E27"/>
    <w:rsid w:val="000335EB"/>
    <w:rsid w:val="00034E0F"/>
    <w:rsid w:val="00037674"/>
    <w:rsid w:val="00040BCC"/>
    <w:rsid w:val="00041C5A"/>
    <w:rsid w:val="000447D8"/>
    <w:rsid w:val="000454DB"/>
    <w:rsid w:val="00045554"/>
    <w:rsid w:val="000561AD"/>
    <w:rsid w:val="000564EE"/>
    <w:rsid w:val="00066F16"/>
    <w:rsid w:val="0007040E"/>
    <w:rsid w:val="00070760"/>
    <w:rsid w:val="00074B35"/>
    <w:rsid w:val="00076BAA"/>
    <w:rsid w:val="00077D6F"/>
    <w:rsid w:val="0008074C"/>
    <w:rsid w:val="000821B4"/>
    <w:rsid w:val="00084120"/>
    <w:rsid w:val="00085133"/>
    <w:rsid w:val="000900B7"/>
    <w:rsid w:val="0009035D"/>
    <w:rsid w:val="00090D19"/>
    <w:rsid w:val="00095643"/>
    <w:rsid w:val="000A1B9D"/>
    <w:rsid w:val="000A3B69"/>
    <w:rsid w:val="000B2944"/>
    <w:rsid w:val="000B3DCE"/>
    <w:rsid w:val="000C55E0"/>
    <w:rsid w:val="000D247B"/>
    <w:rsid w:val="000D293E"/>
    <w:rsid w:val="000D422E"/>
    <w:rsid w:val="000D5814"/>
    <w:rsid w:val="000D702D"/>
    <w:rsid w:val="000E2CBD"/>
    <w:rsid w:val="000E394B"/>
    <w:rsid w:val="000E47C7"/>
    <w:rsid w:val="000E529A"/>
    <w:rsid w:val="000F06DA"/>
    <w:rsid w:val="000F1DC1"/>
    <w:rsid w:val="000F322F"/>
    <w:rsid w:val="000F46E6"/>
    <w:rsid w:val="000F497A"/>
    <w:rsid w:val="000F75A0"/>
    <w:rsid w:val="000F7D1D"/>
    <w:rsid w:val="00100A0D"/>
    <w:rsid w:val="00100E29"/>
    <w:rsid w:val="00101394"/>
    <w:rsid w:val="00102A11"/>
    <w:rsid w:val="00102A64"/>
    <w:rsid w:val="00102EC5"/>
    <w:rsid w:val="00105A95"/>
    <w:rsid w:val="00106601"/>
    <w:rsid w:val="00111582"/>
    <w:rsid w:val="00112FDC"/>
    <w:rsid w:val="00113652"/>
    <w:rsid w:val="001212E6"/>
    <w:rsid w:val="00127CC0"/>
    <w:rsid w:val="001369FB"/>
    <w:rsid w:val="00136A94"/>
    <w:rsid w:val="001377EF"/>
    <w:rsid w:val="00151D26"/>
    <w:rsid w:val="00153B6C"/>
    <w:rsid w:val="00153FFF"/>
    <w:rsid w:val="00156CEC"/>
    <w:rsid w:val="00157AB9"/>
    <w:rsid w:val="001614B3"/>
    <w:rsid w:val="0016767D"/>
    <w:rsid w:val="001714A3"/>
    <w:rsid w:val="0017230A"/>
    <w:rsid w:val="00174FBD"/>
    <w:rsid w:val="00184283"/>
    <w:rsid w:val="00184658"/>
    <w:rsid w:val="001870B1"/>
    <w:rsid w:val="00191437"/>
    <w:rsid w:val="00191FF9"/>
    <w:rsid w:val="001946E0"/>
    <w:rsid w:val="00196B0C"/>
    <w:rsid w:val="001971C2"/>
    <w:rsid w:val="001A1383"/>
    <w:rsid w:val="001A2B41"/>
    <w:rsid w:val="001A41BD"/>
    <w:rsid w:val="001A4906"/>
    <w:rsid w:val="001A7E29"/>
    <w:rsid w:val="001B0F28"/>
    <w:rsid w:val="001B351E"/>
    <w:rsid w:val="001B3A7B"/>
    <w:rsid w:val="001B48B8"/>
    <w:rsid w:val="001B5624"/>
    <w:rsid w:val="001C6478"/>
    <w:rsid w:val="001C76D4"/>
    <w:rsid w:val="001D1C13"/>
    <w:rsid w:val="001E0A16"/>
    <w:rsid w:val="001E4140"/>
    <w:rsid w:val="001E431D"/>
    <w:rsid w:val="001E62CC"/>
    <w:rsid w:val="001E7FC7"/>
    <w:rsid w:val="001F22BD"/>
    <w:rsid w:val="001F4E08"/>
    <w:rsid w:val="001F5E98"/>
    <w:rsid w:val="002005F6"/>
    <w:rsid w:val="0020282C"/>
    <w:rsid w:val="00202D11"/>
    <w:rsid w:val="002079B7"/>
    <w:rsid w:val="0021523F"/>
    <w:rsid w:val="00216124"/>
    <w:rsid w:val="0021733C"/>
    <w:rsid w:val="00217AB9"/>
    <w:rsid w:val="00223952"/>
    <w:rsid w:val="0022396F"/>
    <w:rsid w:val="0022703D"/>
    <w:rsid w:val="0023036B"/>
    <w:rsid w:val="00231589"/>
    <w:rsid w:val="002321F2"/>
    <w:rsid w:val="002325CA"/>
    <w:rsid w:val="00233C46"/>
    <w:rsid w:val="0023554B"/>
    <w:rsid w:val="002373DD"/>
    <w:rsid w:val="00242FAD"/>
    <w:rsid w:val="002442FA"/>
    <w:rsid w:val="00244A91"/>
    <w:rsid w:val="002471E3"/>
    <w:rsid w:val="002515DE"/>
    <w:rsid w:val="00251A77"/>
    <w:rsid w:val="00253EA1"/>
    <w:rsid w:val="00254ADF"/>
    <w:rsid w:val="0025603C"/>
    <w:rsid w:val="002602E1"/>
    <w:rsid w:val="0026044A"/>
    <w:rsid w:val="0026103A"/>
    <w:rsid w:val="002615CD"/>
    <w:rsid w:val="002634CD"/>
    <w:rsid w:val="002649B7"/>
    <w:rsid w:val="002676DB"/>
    <w:rsid w:val="00267A52"/>
    <w:rsid w:val="00275683"/>
    <w:rsid w:val="002760CD"/>
    <w:rsid w:val="002771B0"/>
    <w:rsid w:val="00285959"/>
    <w:rsid w:val="00286BDB"/>
    <w:rsid w:val="00287290"/>
    <w:rsid w:val="00292A48"/>
    <w:rsid w:val="00295807"/>
    <w:rsid w:val="002964D4"/>
    <w:rsid w:val="0029787C"/>
    <w:rsid w:val="002A5C19"/>
    <w:rsid w:val="002A7B21"/>
    <w:rsid w:val="002C1822"/>
    <w:rsid w:val="002C29C9"/>
    <w:rsid w:val="002C3AD1"/>
    <w:rsid w:val="002C4DF7"/>
    <w:rsid w:val="002C611F"/>
    <w:rsid w:val="002C6941"/>
    <w:rsid w:val="002C6A8E"/>
    <w:rsid w:val="002C76E3"/>
    <w:rsid w:val="002D09CC"/>
    <w:rsid w:val="002D2E21"/>
    <w:rsid w:val="002D4FAE"/>
    <w:rsid w:val="002D5827"/>
    <w:rsid w:val="002D5FE3"/>
    <w:rsid w:val="002E1C27"/>
    <w:rsid w:val="002E219C"/>
    <w:rsid w:val="002E3235"/>
    <w:rsid w:val="002E505F"/>
    <w:rsid w:val="002E75CF"/>
    <w:rsid w:val="002F57EF"/>
    <w:rsid w:val="002F59E4"/>
    <w:rsid w:val="002F5DA1"/>
    <w:rsid w:val="00301996"/>
    <w:rsid w:val="003041C3"/>
    <w:rsid w:val="00307C91"/>
    <w:rsid w:val="00311293"/>
    <w:rsid w:val="00313D3E"/>
    <w:rsid w:val="003155F3"/>
    <w:rsid w:val="0032410E"/>
    <w:rsid w:val="00324215"/>
    <w:rsid w:val="0032474C"/>
    <w:rsid w:val="0032603E"/>
    <w:rsid w:val="003271F4"/>
    <w:rsid w:val="00327E6B"/>
    <w:rsid w:val="00332A30"/>
    <w:rsid w:val="00334846"/>
    <w:rsid w:val="00337BB1"/>
    <w:rsid w:val="00337D86"/>
    <w:rsid w:val="0034033A"/>
    <w:rsid w:val="00340737"/>
    <w:rsid w:val="00346D41"/>
    <w:rsid w:val="00353106"/>
    <w:rsid w:val="003535BE"/>
    <w:rsid w:val="00353687"/>
    <w:rsid w:val="003542BD"/>
    <w:rsid w:val="0035439E"/>
    <w:rsid w:val="00355DDB"/>
    <w:rsid w:val="0035717B"/>
    <w:rsid w:val="003624B5"/>
    <w:rsid w:val="00366423"/>
    <w:rsid w:val="00370770"/>
    <w:rsid w:val="00370CAA"/>
    <w:rsid w:val="003773EA"/>
    <w:rsid w:val="0038319E"/>
    <w:rsid w:val="00383567"/>
    <w:rsid w:val="003856F9"/>
    <w:rsid w:val="00393128"/>
    <w:rsid w:val="0039354B"/>
    <w:rsid w:val="00393CFA"/>
    <w:rsid w:val="00396863"/>
    <w:rsid w:val="00396B92"/>
    <w:rsid w:val="00397E20"/>
    <w:rsid w:val="003A19D8"/>
    <w:rsid w:val="003A291F"/>
    <w:rsid w:val="003A2DA1"/>
    <w:rsid w:val="003A2F08"/>
    <w:rsid w:val="003A3A7D"/>
    <w:rsid w:val="003A47DC"/>
    <w:rsid w:val="003A55C8"/>
    <w:rsid w:val="003B120D"/>
    <w:rsid w:val="003B2DBD"/>
    <w:rsid w:val="003B64C0"/>
    <w:rsid w:val="003C0983"/>
    <w:rsid w:val="003C6167"/>
    <w:rsid w:val="003C69D9"/>
    <w:rsid w:val="003C7BCA"/>
    <w:rsid w:val="003D01A2"/>
    <w:rsid w:val="003D0519"/>
    <w:rsid w:val="003D260C"/>
    <w:rsid w:val="003E1416"/>
    <w:rsid w:val="003E18E3"/>
    <w:rsid w:val="003E2FF8"/>
    <w:rsid w:val="003E30D9"/>
    <w:rsid w:val="003E3938"/>
    <w:rsid w:val="003E65F6"/>
    <w:rsid w:val="003F1716"/>
    <w:rsid w:val="003F5330"/>
    <w:rsid w:val="003F61C7"/>
    <w:rsid w:val="004027A1"/>
    <w:rsid w:val="004035E8"/>
    <w:rsid w:val="0040605B"/>
    <w:rsid w:val="00406857"/>
    <w:rsid w:val="00412E53"/>
    <w:rsid w:val="00413476"/>
    <w:rsid w:val="00414EDA"/>
    <w:rsid w:val="00415463"/>
    <w:rsid w:val="00420604"/>
    <w:rsid w:val="00423AAA"/>
    <w:rsid w:val="0042530F"/>
    <w:rsid w:val="004258A9"/>
    <w:rsid w:val="00425F47"/>
    <w:rsid w:val="00427B1A"/>
    <w:rsid w:val="004325F4"/>
    <w:rsid w:val="004370C8"/>
    <w:rsid w:val="00440281"/>
    <w:rsid w:val="00441142"/>
    <w:rsid w:val="00443F76"/>
    <w:rsid w:val="00451A7D"/>
    <w:rsid w:val="00451EE9"/>
    <w:rsid w:val="0045679A"/>
    <w:rsid w:val="0045715D"/>
    <w:rsid w:val="00457C92"/>
    <w:rsid w:val="0046161A"/>
    <w:rsid w:val="004676B6"/>
    <w:rsid w:val="004708CA"/>
    <w:rsid w:val="004719F3"/>
    <w:rsid w:val="00472274"/>
    <w:rsid w:val="00472A7D"/>
    <w:rsid w:val="00473679"/>
    <w:rsid w:val="0048020A"/>
    <w:rsid w:val="00480A6F"/>
    <w:rsid w:val="0048396E"/>
    <w:rsid w:val="00485FBC"/>
    <w:rsid w:val="0049077E"/>
    <w:rsid w:val="00492876"/>
    <w:rsid w:val="00494EC1"/>
    <w:rsid w:val="00495C7A"/>
    <w:rsid w:val="004A0D43"/>
    <w:rsid w:val="004A146D"/>
    <w:rsid w:val="004A1472"/>
    <w:rsid w:val="004A218B"/>
    <w:rsid w:val="004A3A5D"/>
    <w:rsid w:val="004A658F"/>
    <w:rsid w:val="004B0853"/>
    <w:rsid w:val="004B0CBC"/>
    <w:rsid w:val="004B11B0"/>
    <w:rsid w:val="004B1DFC"/>
    <w:rsid w:val="004B5572"/>
    <w:rsid w:val="004B7A9A"/>
    <w:rsid w:val="004C16F4"/>
    <w:rsid w:val="004C3955"/>
    <w:rsid w:val="004C5CFD"/>
    <w:rsid w:val="004C5F39"/>
    <w:rsid w:val="004C7300"/>
    <w:rsid w:val="004D3BB0"/>
    <w:rsid w:val="004D49FC"/>
    <w:rsid w:val="004D5DA7"/>
    <w:rsid w:val="004E1AFB"/>
    <w:rsid w:val="004E4626"/>
    <w:rsid w:val="004F121F"/>
    <w:rsid w:val="004F24EF"/>
    <w:rsid w:val="004F5559"/>
    <w:rsid w:val="004F572C"/>
    <w:rsid w:val="004F64FD"/>
    <w:rsid w:val="00500720"/>
    <w:rsid w:val="00504820"/>
    <w:rsid w:val="00504AFB"/>
    <w:rsid w:val="005057A0"/>
    <w:rsid w:val="00510E54"/>
    <w:rsid w:val="00513533"/>
    <w:rsid w:val="00520926"/>
    <w:rsid w:val="00521F79"/>
    <w:rsid w:val="0052381C"/>
    <w:rsid w:val="00526C50"/>
    <w:rsid w:val="005302C0"/>
    <w:rsid w:val="00534BEA"/>
    <w:rsid w:val="00536EE3"/>
    <w:rsid w:val="00540882"/>
    <w:rsid w:val="0054281B"/>
    <w:rsid w:val="00543E6C"/>
    <w:rsid w:val="00546FC6"/>
    <w:rsid w:val="0055027C"/>
    <w:rsid w:val="00551472"/>
    <w:rsid w:val="005544A0"/>
    <w:rsid w:val="00562DC5"/>
    <w:rsid w:val="0056499C"/>
    <w:rsid w:val="0056559C"/>
    <w:rsid w:val="0056642D"/>
    <w:rsid w:val="005671A6"/>
    <w:rsid w:val="005707A5"/>
    <w:rsid w:val="005762E8"/>
    <w:rsid w:val="00576DCF"/>
    <w:rsid w:val="00577C38"/>
    <w:rsid w:val="00580B71"/>
    <w:rsid w:val="00581939"/>
    <w:rsid w:val="00582B08"/>
    <w:rsid w:val="005833FF"/>
    <w:rsid w:val="005834DF"/>
    <w:rsid w:val="00585307"/>
    <w:rsid w:val="0059133D"/>
    <w:rsid w:val="005958CA"/>
    <w:rsid w:val="005960D1"/>
    <w:rsid w:val="005A5757"/>
    <w:rsid w:val="005B3916"/>
    <w:rsid w:val="005B5134"/>
    <w:rsid w:val="005C2153"/>
    <w:rsid w:val="005C6668"/>
    <w:rsid w:val="005D160D"/>
    <w:rsid w:val="005D17E1"/>
    <w:rsid w:val="005D2508"/>
    <w:rsid w:val="005D4566"/>
    <w:rsid w:val="005D4C7C"/>
    <w:rsid w:val="005E59A2"/>
    <w:rsid w:val="005E5CBC"/>
    <w:rsid w:val="005F06E1"/>
    <w:rsid w:val="005F48CE"/>
    <w:rsid w:val="005F4D5E"/>
    <w:rsid w:val="005F6336"/>
    <w:rsid w:val="005F7BAD"/>
    <w:rsid w:val="00601C82"/>
    <w:rsid w:val="0060372A"/>
    <w:rsid w:val="00607205"/>
    <w:rsid w:val="00611715"/>
    <w:rsid w:val="00614D0F"/>
    <w:rsid w:val="006179DF"/>
    <w:rsid w:val="00620C37"/>
    <w:rsid w:val="0062183E"/>
    <w:rsid w:val="00621F91"/>
    <w:rsid w:val="00623A74"/>
    <w:rsid w:val="00624B99"/>
    <w:rsid w:val="00626179"/>
    <w:rsid w:val="00630CED"/>
    <w:rsid w:val="00631B08"/>
    <w:rsid w:val="00631C5E"/>
    <w:rsid w:val="0063454C"/>
    <w:rsid w:val="006349AB"/>
    <w:rsid w:val="006369B8"/>
    <w:rsid w:val="00637731"/>
    <w:rsid w:val="006408F0"/>
    <w:rsid w:val="006417D1"/>
    <w:rsid w:val="006425CE"/>
    <w:rsid w:val="00644B87"/>
    <w:rsid w:val="006461F1"/>
    <w:rsid w:val="00646894"/>
    <w:rsid w:val="006478D1"/>
    <w:rsid w:val="00652808"/>
    <w:rsid w:val="0065306D"/>
    <w:rsid w:val="00653B4C"/>
    <w:rsid w:val="00654E06"/>
    <w:rsid w:val="0066062E"/>
    <w:rsid w:val="00660B70"/>
    <w:rsid w:val="00660B85"/>
    <w:rsid w:val="006760B7"/>
    <w:rsid w:val="00677A1E"/>
    <w:rsid w:val="0068020C"/>
    <w:rsid w:val="00680407"/>
    <w:rsid w:val="006814F6"/>
    <w:rsid w:val="006818C9"/>
    <w:rsid w:val="00682C8E"/>
    <w:rsid w:val="00683906"/>
    <w:rsid w:val="00685378"/>
    <w:rsid w:val="0068631B"/>
    <w:rsid w:val="00690400"/>
    <w:rsid w:val="0069088C"/>
    <w:rsid w:val="00691985"/>
    <w:rsid w:val="00692780"/>
    <w:rsid w:val="00692AF0"/>
    <w:rsid w:val="00695DB3"/>
    <w:rsid w:val="00696B3C"/>
    <w:rsid w:val="006A26CA"/>
    <w:rsid w:val="006A525A"/>
    <w:rsid w:val="006A7227"/>
    <w:rsid w:val="006B2102"/>
    <w:rsid w:val="006C33E6"/>
    <w:rsid w:val="006C574D"/>
    <w:rsid w:val="006C70A4"/>
    <w:rsid w:val="006D29DE"/>
    <w:rsid w:val="006D5E62"/>
    <w:rsid w:val="006E12B2"/>
    <w:rsid w:val="006E325D"/>
    <w:rsid w:val="006E6067"/>
    <w:rsid w:val="006E7543"/>
    <w:rsid w:val="006F0804"/>
    <w:rsid w:val="006F211D"/>
    <w:rsid w:val="006F5060"/>
    <w:rsid w:val="006F616B"/>
    <w:rsid w:val="00700D56"/>
    <w:rsid w:val="00701564"/>
    <w:rsid w:val="00701A58"/>
    <w:rsid w:val="00703BDE"/>
    <w:rsid w:val="00703E18"/>
    <w:rsid w:val="00704F86"/>
    <w:rsid w:val="00707225"/>
    <w:rsid w:val="00707260"/>
    <w:rsid w:val="00711E62"/>
    <w:rsid w:val="007122CE"/>
    <w:rsid w:val="00712902"/>
    <w:rsid w:val="007144DB"/>
    <w:rsid w:val="00714BDE"/>
    <w:rsid w:val="00714D90"/>
    <w:rsid w:val="00715782"/>
    <w:rsid w:val="0071681F"/>
    <w:rsid w:val="007169B4"/>
    <w:rsid w:val="00721144"/>
    <w:rsid w:val="007222A4"/>
    <w:rsid w:val="007238FB"/>
    <w:rsid w:val="00724C7D"/>
    <w:rsid w:val="00725670"/>
    <w:rsid w:val="0072586F"/>
    <w:rsid w:val="00725BB9"/>
    <w:rsid w:val="0073015E"/>
    <w:rsid w:val="007336E0"/>
    <w:rsid w:val="00735E52"/>
    <w:rsid w:val="00737092"/>
    <w:rsid w:val="00741ACE"/>
    <w:rsid w:val="00746695"/>
    <w:rsid w:val="00756CC6"/>
    <w:rsid w:val="00757C9C"/>
    <w:rsid w:val="00760B91"/>
    <w:rsid w:val="007630E9"/>
    <w:rsid w:val="00767697"/>
    <w:rsid w:val="00775BAB"/>
    <w:rsid w:val="0077771A"/>
    <w:rsid w:val="00781289"/>
    <w:rsid w:val="007812DD"/>
    <w:rsid w:val="007822C8"/>
    <w:rsid w:val="00782FB0"/>
    <w:rsid w:val="00795027"/>
    <w:rsid w:val="00796D5A"/>
    <w:rsid w:val="007A0704"/>
    <w:rsid w:val="007A2931"/>
    <w:rsid w:val="007B0222"/>
    <w:rsid w:val="007B1723"/>
    <w:rsid w:val="007B38A0"/>
    <w:rsid w:val="007B5989"/>
    <w:rsid w:val="007B74FA"/>
    <w:rsid w:val="007B79AB"/>
    <w:rsid w:val="007C0E0F"/>
    <w:rsid w:val="007C3A11"/>
    <w:rsid w:val="007C481A"/>
    <w:rsid w:val="007C7BC2"/>
    <w:rsid w:val="007D7402"/>
    <w:rsid w:val="007E2CC5"/>
    <w:rsid w:val="007E360B"/>
    <w:rsid w:val="007E4081"/>
    <w:rsid w:val="007E56CE"/>
    <w:rsid w:val="007E68EF"/>
    <w:rsid w:val="007F47B8"/>
    <w:rsid w:val="007F4DF5"/>
    <w:rsid w:val="007F547A"/>
    <w:rsid w:val="00804E1A"/>
    <w:rsid w:val="0080536A"/>
    <w:rsid w:val="008068F3"/>
    <w:rsid w:val="008130F8"/>
    <w:rsid w:val="00814228"/>
    <w:rsid w:val="00814D5C"/>
    <w:rsid w:val="00822CCD"/>
    <w:rsid w:val="00823817"/>
    <w:rsid w:val="00823DF5"/>
    <w:rsid w:val="00825E6D"/>
    <w:rsid w:val="00826D74"/>
    <w:rsid w:val="00827EEB"/>
    <w:rsid w:val="00831856"/>
    <w:rsid w:val="008348EC"/>
    <w:rsid w:val="00840490"/>
    <w:rsid w:val="00841C63"/>
    <w:rsid w:val="00843C4C"/>
    <w:rsid w:val="00844115"/>
    <w:rsid w:val="00844B20"/>
    <w:rsid w:val="0084658C"/>
    <w:rsid w:val="00851A2A"/>
    <w:rsid w:val="00851BAA"/>
    <w:rsid w:val="00853FB1"/>
    <w:rsid w:val="008563F4"/>
    <w:rsid w:val="00857DC1"/>
    <w:rsid w:val="008611DB"/>
    <w:rsid w:val="00861D2B"/>
    <w:rsid w:val="00862198"/>
    <w:rsid w:val="00862203"/>
    <w:rsid w:val="00862B9D"/>
    <w:rsid w:val="00867C09"/>
    <w:rsid w:val="00867F64"/>
    <w:rsid w:val="00875CDD"/>
    <w:rsid w:val="008804FC"/>
    <w:rsid w:val="008829B5"/>
    <w:rsid w:val="00883FF8"/>
    <w:rsid w:val="00885910"/>
    <w:rsid w:val="00885E74"/>
    <w:rsid w:val="00886B01"/>
    <w:rsid w:val="00893405"/>
    <w:rsid w:val="00897AAA"/>
    <w:rsid w:val="008A0CBB"/>
    <w:rsid w:val="008A1C0D"/>
    <w:rsid w:val="008A451B"/>
    <w:rsid w:val="008B22D3"/>
    <w:rsid w:val="008B4316"/>
    <w:rsid w:val="008B6256"/>
    <w:rsid w:val="008C013C"/>
    <w:rsid w:val="008C2FB7"/>
    <w:rsid w:val="008C5984"/>
    <w:rsid w:val="008C73F7"/>
    <w:rsid w:val="008D00BB"/>
    <w:rsid w:val="008D1539"/>
    <w:rsid w:val="008D1AAF"/>
    <w:rsid w:val="008D3DC7"/>
    <w:rsid w:val="008D48BF"/>
    <w:rsid w:val="008D4F96"/>
    <w:rsid w:val="008D6650"/>
    <w:rsid w:val="008E4D94"/>
    <w:rsid w:val="008E61F5"/>
    <w:rsid w:val="008E65C9"/>
    <w:rsid w:val="008E6FBB"/>
    <w:rsid w:val="008F0243"/>
    <w:rsid w:val="008F0852"/>
    <w:rsid w:val="008F4F21"/>
    <w:rsid w:val="008F5968"/>
    <w:rsid w:val="008F5D32"/>
    <w:rsid w:val="008F7436"/>
    <w:rsid w:val="009008B9"/>
    <w:rsid w:val="009026F4"/>
    <w:rsid w:val="009035D9"/>
    <w:rsid w:val="009078B3"/>
    <w:rsid w:val="00911848"/>
    <w:rsid w:val="00913B29"/>
    <w:rsid w:val="009148EB"/>
    <w:rsid w:val="00915B1C"/>
    <w:rsid w:val="009162A2"/>
    <w:rsid w:val="00917ED3"/>
    <w:rsid w:val="009201C6"/>
    <w:rsid w:val="009237ED"/>
    <w:rsid w:val="0092666E"/>
    <w:rsid w:val="00930A96"/>
    <w:rsid w:val="00930B8E"/>
    <w:rsid w:val="00931438"/>
    <w:rsid w:val="00933776"/>
    <w:rsid w:val="00935E87"/>
    <w:rsid w:val="00940176"/>
    <w:rsid w:val="00940510"/>
    <w:rsid w:val="009406A9"/>
    <w:rsid w:val="009410B1"/>
    <w:rsid w:val="00944010"/>
    <w:rsid w:val="009445E2"/>
    <w:rsid w:val="009449DD"/>
    <w:rsid w:val="00945708"/>
    <w:rsid w:val="009473AC"/>
    <w:rsid w:val="00950F39"/>
    <w:rsid w:val="00952FF6"/>
    <w:rsid w:val="00954C55"/>
    <w:rsid w:val="00961828"/>
    <w:rsid w:val="00964F85"/>
    <w:rsid w:val="00972011"/>
    <w:rsid w:val="009721E6"/>
    <w:rsid w:val="009724F0"/>
    <w:rsid w:val="009729A3"/>
    <w:rsid w:val="009777CA"/>
    <w:rsid w:val="00980F8A"/>
    <w:rsid w:val="00984990"/>
    <w:rsid w:val="00984BF7"/>
    <w:rsid w:val="00985E6E"/>
    <w:rsid w:val="00990EE1"/>
    <w:rsid w:val="00991602"/>
    <w:rsid w:val="009A0411"/>
    <w:rsid w:val="009A15D7"/>
    <w:rsid w:val="009A1ADB"/>
    <w:rsid w:val="009A1BF5"/>
    <w:rsid w:val="009A2CEF"/>
    <w:rsid w:val="009A336F"/>
    <w:rsid w:val="009A3A72"/>
    <w:rsid w:val="009A3B92"/>
    <w:rsid w:val="009A5DAD"/>
    <w:rsid w:val="009A67ED"/>
    <w:rsid w:val="009A6D24"/>
    <w:rsid w:val="009B2183"/>
    <w:rsid w:val="009B2814"/>
    <w:rsid w:val="009B2B3B"/>
    <w:rsid w:val="009B35FA"/>
    <w:rsid w:val="009B7950"/>
    <w:rsid w:val="009C118C"/>
    <w:rsid w:val="009C74EB"/>
    <w:rsid w:val="009C75D0"/>
    <w:rsid w:val="009D07DD"/>
    <w:rsid w:val="009D0978"/>
    <w:rsid w:val="009D3660"/>
    <w:rsid w:val="009D5761"/>
    <w:rsid w:val="009D70D8"/>
    <w:rsid w:val="009E01EA"/>
    <w:rsid w:val="009E0A77"/>
    <w:rsid w:val="009E2D40"/>
    <w:rsid w:val="009E33FE"/>
    <w:rsid w:val="009E45C1"/>
    <w:rsid w:val="009E4AA5"/>
    <w:rsid w:val="009F11F1"/>
    <w:rsid w:val="009F4300"/>
    <w:rsid w:val="009F51C0"/>
    <w:rsid w:val="009F5212"/>
    <w:rsid w:val="009F6377"/>
    <w:rsid w:val="00A00768"/>
    <w:rsid w:val="00A07E84"/>
    <w:rsid w:val="00A13398"/>
    <w:rsid w:val="00A15B87"/>
    <w:rsid w:val="00A16C03"/>
    <w:rsid w:val="00A173C0"/>
    <w:rsid w:val="00A17F95"/>
    <w:rsid w:val="00A216FF"/>
    <w:rsid w:val="00A22F7E"/>
    <w:rsid w:val="00A24D5B"/>
    <w:rsid w:val="00A25713"/>
    <w:rsid w:val="00A25ADF"/>
    <w:rsid w:val="00A25E07"/>
    <w:rsid w:val="00A2699C"/>
    <w:rsid w:val="00A3056B"/>
    <w:rsid w:val="00A32ECF"/>
    <w:rsid w:val="00A35263"/>
    <w:rsid w:val="00A41088"/>
    <w:rsid w:val="00A413EA"/>
    <w:rsid w:val="00A414BC"/>
    <w:rsid w:val="00A53155"/>
    <w:rsid w:val="00A536A2"/>
    <w:rsid w:val="00A53AAB"/>
    <w:rsid w:val="00A5474D"/>
    <w:rsid w:val="00A61B0E"/>
    <w:rsid w:val="00A62BD2"/>
    <w:rsid w:val="00A67062"/>
    <w:rsid w:val="00A70398"/>
    <w:rsid w:val="00A71064"/>
    <w:rsid w:val="00A727A6"/>
    <w:rsid w:val="00A73169"/>
    <w:rsid w:val="00A75227"/>
    <w:rsid w:val="00A76078"/>
    <w:rsid w:val="00A80A3C"/>
    <w:rsid w:val="00A81038"/>
    <w:rsid w:val="00A82BD4"/>
    <w:rsid w:val="00A8390B"/>
    <w:rsid w:val="00A84F16"/>
    <w:rsid w:val="00A87329"/>
    <w:rsid w:val="00A90C62"/>
    <w:rsid w:val="00A93731"/>
    <w:rsid w:val="00A941BE"/>
    <w:rsid w:val="00A95EBC"/>
    <w:rsid w:val="00AA104C"/>
    <w:rsid w:val="00AA10AD"/>
    <w:rsid w:val="00AA1961"/>
    <w:rsid w:val="00AA4BB0"/>
    <w:rsid w:val="00AA4D69"/>
    <w:rsid w:val="00AA7341"/>
    <w:rsid w:val="00AA77F4"/>
    <w:rsid w:val="00AA7C40"/>
    <w:rsid w:val="00AB2807"/>
    <w:rsid w:val="00AB4638"/>
    <w:rsid w:val="00AB5866"/>
    <w:rsid w:val="00AB7B5D"/>
    <w:rsid w:val="00AC2919"/>
    <w:rsid w:val="00AC5E16"/>
    <w:rsid w:val="00AC6927"/>
    <w:rsid w:val="00AD0EA9"/>
    <w:rsid w:val="00AD1787"/>
    <w:rsid w:val="00AD1E4B"/>
    <w:rsid w:val="00AD222C"/>
    <w:rsid w:val="00AD3E27"/>
    <w:rsid w:val="00AD4F53"/>
    <w:rsid w:val="00AD6501"/>
    <w:rsid w:val="00AE1075"/>
    <w:rsid w:val="00AE1C4F"/>
    <w:rsid w:val="00AE4C0D"/>
    <w:rsid w:val="00AE4F2D"/>
    <w:rsid w:val="00AE7C59"/>
    <w:rsid w:val="00AE7ECC"/>
    <w:rsid w:val="00AF28F8"/>
    <w:rsid w:val="00AF308D"/>
    <w:rsid w:val="00AF3E49"/>
    <w:rsid w:val="00AF5225"/>
    <w:rsid w:val="00AF72D3"/>
    <w:rsid w:val="00AF751F"/>
    <w:rsid w:val="00B002E7"/>
    <w:rsid w:val="00B03D21"/>
    <w:rsid w:val="00B03E10"/>
    <w:rsid w:val="00B04BBD"/>
    <w:rsid w:val="00B05557"/>
    <w:rsid w:val="00B075D5"/>
    <w:rsid w:val="00B07DF9"/>
    <w:rsid w:val="00B12FC7"/>
    <w:rsid w:val="00B13BC0"/>
    <w:rsid w:val="00B21ECB"/>
    <w:rsid w:val="00B233B2"/>
    <w:rsid w:val="00B25AC1"/>
    <w:rsid w:val="00B25E50"/>
    <w:rsid w:val="00B26BCF"/>
    <w:rsid w:val="00B31790"/>
    <w:rsid w:val="00B31DD4"/>
    <w:rsid w:val="00B33121"/>
    <w:rsid w:val="00B347AF"/>
    <w:rsid w:val="00B4062D"/>
    <w:rsid w:val="00B43115"/>
    <w:rsid w:val="00B44277"/>
    <w:rsid w:val="00B4447B"/>
    <w:rsid w:val="00B449E2"/>
    <w:rsid w:val="00B4577A"/>
    <w:rsid w:val="00B46527"/>
    <w:rsid w:val="00B472A4"/>
    <w:rsid w:val="00B50996"/>
    <w:rsid w:val="00B534CF"/>
    <w:rsid w:val="00B540C7"/>
    <w:rsid w:val="00B543E6"/>
    <w:rsid w:val="00B558AD"/>
    <w:rsid w:val="00B63B1D"/>
    <w:rsid w:val="00B707F3"/>
    <w:rsid w:val="00B70AA0"/>
    <w:rsid w:val="00B738F4"/>
    <w:rsid w:val="00B83D87"/>
    <w:rsid w:val="00B85874"/>
    <w:rsid w:val="00B87FC4"/>
    <w:rsid w:val="00B9212F"/>
    <w:rsid w:val="00B94108"/>
    <w:rsid w:val="00B9684A"/>
    <w:rsid w:val="00BA13AB"/>
    <w:rsid w:val="00BA2B03"/>
    <w:rsid w:val="00BA3A08"/>
    <w:rsid w:val="00BA3F44"/>
    <w:rsid w:val="00BA4431"/>
    <w:rsid w:val="00BA57D4"/>
    <w:rsid w:val="00BA6677"/>
    <w:rsid w:val="00BC3CBB"/>
    <w:rsid w:val="00BC4748"/>
    <w:rsid w:val="00BC4E34"/>
    <w:rsid w:val="00BC58AF"/>
    <w:rsid w:val="00BC66BC"/>
    <w:rsid w:val="00BC7711"/>
    <w:rsid w:val="00BD0506"/>
    <w:rsid w:val="00BD172B"/>
    <w:rsid w:val="00BD1814"/>
    <w:rsid w:val="00BD39A7"/>
    <w:rsid w:val="00BD75D2"/>
    <w:rsid w:val="00BD779A"/>
    <w:rsid w:val="00BE1D55"/>
    <w:rsid w:val="00BE3A86"/>
    <w:rsid w:val="00BE476B"/>
    <w:rsid w:val="00BE59DE"/>
    <w:rsid w:val="00BE6581"/>
    <w:rsid w:val="00BE7430"/>
    <w:rsid w:val="00BF001E"/>
    <w:rsid w:val="00BF0038"/>
    <w:rsid w:val="00BF16C1"/>
    <w:rsid w:val="00BF18C6"/>
    <w:rsid w:val="00BF1B52"/>
    <w:rsid w:val="00BF3508"/>
    <w:rsid w:val="00BF4A22"/>
    <w:rsid w:val="00BF6F60"/>
    <w:rsid w:val="00C00F07"/>
    <w:rsid w:val="00C01898"/>
    <w:rsid w:val="00C0386D"/>
    <w:rsid w:val="00C13249"/>
    <w:rsid w:val="00C21B57"/>
    <w:rsid w:val="00C245F1"/>
    <w:rsid w:val="00C25B6E"/>
    <w:rsid w:val="00C263A6"/>
    <w:rsid w:val="00C26562"/>
    <w:rsid w:val="00C273E0"/>
    <w:rsid w:val="00C27B04"/>
    <w:rsid w:val="00C30097"/>
    <w:rsid w:val="00C4257A"/>
    <w:rsid w:val="00C42777"/>
    <w:rsid w:val="00C4401C"/>
    <w:rsid w:val="00C44995"/>
    <w:rsid w:val="00C462C7"/>
    <w:rsid w:val="00C47309"/>
    <w:rsid w:val="00C53574"/>
    <w:rsid w:val="00C54DD9"/>
    <w:rsid w:val="00C57ACE"/>
    <w:rsid w:val="00C61482"/>
    <w:rsid w:val="00C64B75"/>
    <w:rsid w:val="00C6616A"/>
    <w:rsid w:val="00C67BAA"/>
    <w:rsid w:val="00C74330"/>
    <w:rsid w:val="00C76AEE"/>
    <w:rsid w:val="00C76C62"/>
    <w:rsid w:val="00C77505"/>
    <w:rsid w:val="00C80A7E"/>
    <w:rsid w:val="00C85A3F"/>
    <w:rsid w:val="00C86D3D"/>
    <w:rsid w:val="00C9438C"/>
    <w:rsid w:val="00C978A9"/>
    <w:rsid w:val="00CA6760"/>
    <w:rsid w:val="00CB2DC3"/>
    <w:rsid w:val="00CB32EB"/>
    <w:rsid w:val="00CB46BE"/>
    <w:rsid w:val="00CB540F"/>
    <w:rsid w:val="00CB7701"/>
    <w:rsid w:val="00CC0315"/>
    <w:rsid w:val="00CC06EC"/>
    <w:rsid w:val="00CD021B"/>
    <w:rsid w:val="00CD20E0"/>
    <w:rsid w:val="00CD25B6"/>
    <w:rsid w:val="00CD2F5F"/>
    <w:rsid w:val="00CE0803"/>
    <w:rsid w:val="00CE2362"/>
    <w:rsid w:val="00CE5203"/>
    <w:rsid w:val="00CE68A4"/>
    <w:rsid w:val="00CF0A0F"/>
    <w:rsid w:val="00CF4629"/>
    <w:rsid w:val="00D06CEC"/>
    <w:rsid w:val="00D074D6"/>
    <w:rsid w:val="00D10BFD"/>
    <w:rsid w:val="00D110EA"/>
    <w:rsid w:val="00D15950"/>
    <w:rsid w:val="00D17042"/>
    <w:rsid w:val="00D17A0F"/>
    <w:rsid w:val="00D17D2C"/>
    <w:rsid w:val="00D2159D"/>
    <w:rsid w:val="00D2413B"/>
    <w:rsid w:val="00D25BB8"/>
    <w:rsid w:val="00D262FB"/>
    <w:rsid w:val="00D30230"/>
    <w:rsid w:val="00D30463"/>
    <w:rsid w:val="00D31B00"/>
    <w:rsid w:val="00D35802"/>
    <w:rsid w:val="00D37B34"/>
    <w:rsid w:val="00D4094B"/>
    <w:rsid w:val="00D432D1"/>
    <w:rsid w:val="00D447AC"/>
    <w:rsid w:val="00D44960"/>
    <w:rsid w:val="00D5014B"/>
    <w:rsid w:val="00D525ED"/>
    <w:rsid w:val="00D52D63"/>
    <w:rsid w:val="00D5343A"/>
    <w:rsid w:val="00D554B4"/>
    <w:rsid w:val="00D65638"/>
    <w:rsid w:val="00D679AB"/>
    <w:rsid w:val="00D67A15"/>
    <w:rsid w:val="00D70F9D"/>
    <w:rsid w:val="00D71FD7"/>
    <w:rsid w:val="00D725F2"/>
    <w:rsid w:val="00D7650E"/>
    <w:rsid w:val="00D807ED"/>
    <w:rsid w:val="00D82867"/>
    <w:rsid w:val="00D83172"/>
    <w:rsid w:val="00D8487E"/>
    <w:rsid w:val="00D855EB"/>
    <w:rsid w:val="00D874BB"/>
    <w:rsid w:val="00D87AF1"/>
    <w:rsid w:val="00D9013D"/>
    <w:rsid w:val="00D91AEB"/>
    <w:rsid w:val="00D91DD9"/>
    <w:rsid w:val="00D9257A"/>
    <w:rsid w:val="00D93FA0"/>
    <w:rsid w:val="00D94D9F"/>
    <w:rsid w:val="00D952E9"/>
    <w:rsid w:val="00D97292"/>
    <w:rsid w:val="00DA6C56"/>
    <w:rsid w:val="00DA7418"/>
    <w:rsid w:val="00DB2530"/>
    <w:rsid w:val="00DB319D"/>
    <w:rsid w:val="00DB4C29"/>
    <w:rsid w:val="00DC0BBD"/>
    <w:rsid w:val="00DC19D4"/>
    <w:rsid w:val="00DC2E3B"/>
    <w:rsid w:val="00DC358B"/>
    <w:rsid w:val="00DC6A65"/>
    <w:rsid w:val="00DC77DC"/>
    <w:rsid w:val="00DC791F"/>
    <w:rsid w:val="00DD1899"/>
    <w:rsid w:val="00DD2AEA"/>
    <w:rsid w:val="00DD30A0"/>
    <w:rsid w:val="00DD4AC6"/>
    <w:rsid w:val="00DD5465"/>
    <w:rsid w:val="00DD751B"/>
    <w:rsid w:val="00DE0423"/>
    <w:rsid w:val="00DE1027"/>
    <w:rsid w:val="00DE15AF"/>
    <w:rsid w:val="00DE3712"/>
    <w:rsid w:val="00DE57A9"/>
    <w:rsid w:val="00DE694C"/>
    <w:rsid w:val="00DE754A"/>
    <w:rsid w:val="00DF24F4"/>
    <w:rsid w:val="00DF4826"/>
    <w:rsid w:val="00DF5799"/>
    <w:rsid w:val="00E0077F"/>
    <w:rsid w:val="00E02D53"/>
    <w:rsid w:val="00E03C21"/>
    <w:rsid w:val="00E043DB"/>
    <w:rsid w:val="00E0731E"/>
    <w:rsid w:val="00E13FA6"/>
    <w:rsid w:val="00E15533"/>
    <w:rsid w:val="00E2009A"/>
    <w:rsid w:val="00E221C8"/>
    <w:rsid w:val="00E22DFE"/>
    <w:rsid w:val="00E23692"/>
    <w:rsid w:val="00E25215"/>
    <w:rsid w:val="00E25BE8"/>
    <w:rsid w:val="00E32FA0"/>
    <w:rsid w:val="00E3503D"/>
    <w:rsid w:val="00E365FB"/>
    <w:rsid w:val="00E3727C"/>
    <w:rsid w:val="00E43CC0"/>
    <w:rsid w:val="00E51294"/>
    <w:rsid w:val="00E56264"/>
    <w:rsid w:val="00E567B9"/>
    <w:rsid w:val="00E61D87"/>
    <w:rsid w:val="00E626C0"/>
    <w:rsid w:val="00E6326A"/>
    <w:rsid w:val="00E666F9"/>
    <w:rsid w:val="00E71B22"/>
    <w:rsid w:val="00E72383"/>
    <w:rsid w:val="00E7260D"/>
    <w:rsid w:val="00E757B6"/>
    <w:rsid w:val="00E77112"/>
    <w:rsid w:val="00E800EA"/>
    <w:rsid w:val="00E80DBA"/>
    <w:rsid w:val="00E8204E"/>
    <w:rsid w:val="00E83E57"/>
    <w:rsid w:val="00E90699"/>
    <w:rsid w:val="00E90BD1"/>
    <w:rsid w:val="00E93027"/>
    <w:rsid w:val="00E9461E"/>
    <w:rsid w:val="00E96A92"/>
    <w:rsid w:val="00EA245E"/>
    <w:rsid w:val="00EA349A"/>
    <w:rsid w:val="00EA34BF"/>
    <w:rsid w:val="00EA5690"/>
    <w:rsid w:val="00EA6A55"/>
    <w:rsid w:val="00EA6CCE"/>
    <w:rsid w:val="00EA75DC"/>
    <w:rsid w:val="00EB6637"/>
    <w:rsid w:val="00EC1681"/>
    <w:rsid w:val="00EC42F4"/>
    <w:rsid w:val="00EC761B"/>
    <w:rsid w:val="00ED1BD6"/>
    <w:rsid w:val="00ED48D0"/>
    <w:rsid w:val="00ED77BB"/>
    <w:rsid w:val="00EE2679"/>
    <w:rsid w:val="00EE27B2"/>
    <w:rsid w:val="00EE2925"/>
    <w:rsid w:val="00EE4102"/>
    <w:rsid w:val="00EE5B77"/>
    <w:rsid w:val="00EF5243"/>
    <w:rsid w:val="00EF6646"/>
    <w:rsid w:val="00EF7FED"/>
    <w:rsid w:val="00F0001F"/>
    <w:rsid w:val="00F027A7"/>
    <w:rsid w:val="00F0290B"/>
    <w:rsid w:val="00F05D1A"/>
    <w:rsid w:val="00F07AF6"/>
    <w:rsid w:val="00F1266F"/>
    <w:rsid w:val="00F1425D"/>
    <w:rsid w:val="00F14680"/>
    <w:rsid w:val="00F15FEA"/>
    <w:rsid w:val="00F17386"/>
    <w:rsid w:val="00F20606"/>
    <w:rsid w:val="00F2258B"/>
    <w:rsid w:val="00F22F95"/>
    <w:rsid w:val="00F235BD"/>
    <w:rsid w:val="00F2393E"/>
    <w:rsid w:val="00F24931"/>
    <w:rsid w:val="00F27792"/>
    <w:rsid w:val="00F313F0"/>
    <w:rsid w:val="00F32793"/>
    <w:rsid w:val="00F32FEF"/>
    <w:rsid w:val="00F33BEC"/>
    <w:rsid w:val="00F3410D"/>
    <w:rsid w:val="00F34A7F"/>
    <w:rsid w:val="00F37477"/>
    <w:rsid w:val="00F41A94"/>
    <w:rsid w:val="00F41F21"/>
    <w:rsid w:val="00F428FC"/>
    <w:rsid w:val="00F43DCD"/>
    <w:rsid w:val="00F529AE"/>
    <w:rsid w:val="00F5415A"/>
    <w:rsid w:val="00F55220"/>
    <w:rsid w:val="00F563AA"/>
    <w:rsid w:val="00F571E6"/>
    <w:rsid w:val="00F610F1"/>
    <w:rsid w:val="00F63FDD"/>
    <w:rsid w:val="00F6705F"/>
    <w:rsid w:val="00F71906"/>
    <w:rsid w:val="00F73BCA"/>
    <w:rsid w:val="00F773AF"/>
    <w:rsid w:val="00F81F49"/>
    <w:rsid w:val="00F8400E"/>
    <w:rsid w:val="00F94755"/>
    <w:rsid w:val="00F962B1"/>
    <w:rsid w:val="00F96467"/>
    <w:rsid w:val="00F9708F"/>
    <w:rsid w:val="00FA21AD"/>
    <w:rsid w:val="00FA2E56"/>
    <w:rsid w:val="00FA585B"/>
    <w:rsid w:val="00FA61D4"/>
    <w:rsid w:val="00FB0F86"/>
    <w:rsid w:val="00FB2DC9"/>
    <w:rsid w:val="00FB3F7F"/>
    <w:rsid w:val="00FB4E5D"/>
    <w:rsid w:val="00FB5129"/>
    <w:rsid w:val="00FB53A2"/>
    <w:rsid w:val="00FB617C"/>
    <w:rsid w:val="00FB7979"/>
    <w:rsid w:val="00FC171F"/>
    <w:rsid w:val="00FC3824"/>
    <w:rsid w:val="00FD0A15"/>
    <w:rsid w:val="00FD0EC5"/>
    <w:rsid w:val="00FD232B"/>
    <w:rsid w:val="00FD267A"/>
    <w:rsid w:val="00FD2C4B"/>
    <w:rsid w:val="00FD337B"/>
    <w:rsid w:val="00FD3E35"/>
    <w:rsid w:val="00FD4282"/>
    <w:rsid w:val="00FD555E"/>
    <w:rsid w:val="00FD5E74"/>
    <w:rsid w:val="00FD61D4"/>
    <w:rsid w:val="00FE0B70"/>
    <w:rsid w:val="00FE3C9E"/>
    <w:rsid w:val="00FE66E3"/>
    <w:rsid w:val="00FF16F1"/>
    <w:rsid w:val="00FF1BFA"/>
    <w:rsid w:val="00FF554D"/>
    <w:rsid w:val="00FF574E"/>
    <w:rsid w:val="00FF5DEC"/>
    <w:rsid w:val="00FF6D8F"/>
    <w:rsid w:val="00FF7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0FEDC"/>
  <w15:docId w15:val="{0BB8205D-CB30-49A3-8ED6-624AF76A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5027"/>
    <w:rPr>
      <w:rFonts w:ascii="Trebuchet MS" w:hAnsi="Trebuchet MS" w:cs="Arial"/>
      <w:color w:val="000000"/>
    </w:rPr>
  </w:style>
  <w:style w:type="paragraph" w:styleId="Nagwek1">
    <w:name w:val="heading 1"/>
    <w:basedOn w:val="Normalny"/>
    <w:next w:val="Normalny"/>
    <w:link w:val="Nagwek1Znak"/>
    <w:qFormat/>
    <w:rsid w:val="00795027"/>
    <w:pPr>
      <w:keepNext/>
      <w:spacing w:before="40"/>
      <w:jc w:val="center"/>
      <w:outlineLvl w:val="0"/>
    </w:pPr>
    <w:rPr>
      <w:sz w:val="28"/>
    </w:rPr>
  </w:style>
  <w:style w:type="paragraph" w:styleId="Nagwek2">
    <w:name w:val="heading 2"/>
    <w:basedOn w:val="Normalny"/>
    <w:next w:val="Normalny"/>
    <w:link w:val="Nagwek2Znak"/>
    <w:qFormat/>
    <w:rsid w:val="00795027"/>
    <w:pPr>
      <w:keepNext/>
      <w:spacing w:before="40"/>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01394"/>
    <w:rPr>
      <w:rFonts w:ascii="Cambria" w:hAnsi="Cambria" w:cs="Times New Roman"/>
      <w:b/>
      <w:bCs/>
      <w:color w:val="000000"/>
      <w:kern w:val="32"/>
      <w:sz w:val="32"/>
      <w:szCs w:val="32"/>
    </w:rPr>
  </w:style>
  <w:style w:type="character" w:customStyle="1" w:styleId="Nagwek2Znak">
    <w:name w:val="Nagłówek 2 Znak"/>
    <w:link w:val="Nagwek2"/>
    <w:semiHidden/>
    <w:locked/>
    <w:rsid w:val="00101394"/>
    <w:rPr>
      <w:rFonts w:ascii="Cambria" w:hAnsi="Cambria" w:cs="Times New Roman"/>
      <w:b/>
      <w:bCs/>
      <w:i/>
      <w:iCs/>
      <w:color w:val="000000"/>
      <w:sz w:val="28"/>
      <w:szCs w:val="28"/>
    </w:rPr>
  </w:style>
  <w:style w:type="character" w:styleId="UyteHipercze">
    <w:name w:val="FollowedHyperlink"/>
    <w:semiHidden/>
    <w:rsid w:val="00795027"/>
    <w:rPr>
      <w:rFonts w:cs="Times New Roman"/>
      <w:color w:val="800080"/>
      <w:u w:val="single"/>
    </w:rPr>
  </w:style>
  <w:style w:type="paragraph" w:styleId="Tekstpodstawowywcity">
    <w:name w:val="Body Text Indent"/>
    <w:basedOn w:val="Normalny"/>
    <w:link w:val="TekstpodstawowywcityZnak"/>
    <w:semiHidden/>
    <w:rsid w:val="00795027"/>
    <w:pPr>
      <w:ind w:firstLine="709"/>
      <w:jc w:val="both"/>
    </w:pPr>
    <w:rPr>
      <w:bCs/>
      <w:iCs/>
    </w:rPr>
  </w:style>
  <w:style w:type="character" w:customStyle="1" w:styleId="TekstpodstawowywcityZnak">
    <w:name w:val="Tekst podstawowy wcięty Znak"/>
    <w:link w:val="Tekstpodstawowywcity"/>
    <w:semiHidden/>
    <w:locked/>
    <w:rsid w:val="00101394"/>
    <w:rPr>
      <w:rFonts w:ascii="Trebuchet MS" w:hAnsi="Trebuchet MS" w:cs="Arial"/>
      <w:color w:val="000000"/>
      <w:sz w:val="20"/>
      <w:szCs w:val="20"/>
    </w:rPr>
  </w:style>
  <w:style w:type="paragraph" w:styleId="Nagwek">
    <w:name w:val="header"/>
    <w:basedOn w:val="Normalny"/>
    <w:link w:val="NagwekZnak"/>
    <w:uiPriority w:val="99"/>
    <w:rsid w:val="00795027"/>
    <w:pPr>
      <w:tabs>
        <w:tab w:val="center" w:pos="4536"/>
        <w:tab w:val="right" w:pos="9072"/>
      </w:tabs>
    </w:pPr>
  </w:style>
  <w:style w:type="character" w:customStyle="1" w:styleId="NagwekZnak">
    <w:name w:val="Nagłówek Znak"/>
    <w:link w:val="Nagwek"/>
    <w:uiPriority w:val="99"/>
    <w:locked/>
    <w:rsid w:val="004A1472"/>
    <w:rPr>
      <w:rFonts w:ascii="Trebuchet MS" w:hAnsi="Trebuchet MS" w:cs="Arial"/>
      <w:color w:val="000000"/>
    </w:rPr>
  </w:style>
  <w:style w:type="paragraph" w:styleId="Stopka">
    <w:name w:val="footer"/>
    <w:basedOn w:val="Normalny"/>
    <w:link w:val="StopkaZnak"/>
    <w:uiPriority w:val="99"/>
    <w:rsid w:val="00795027"/>
    <w:pPr>
      <w:tabs>
        <w:tab w:val="center" w:pos="4536"/>
        <w:tab w:val="right" w:pos="9072"/>
      </w:tabs>
    </w:pPr>
  </w:style>
  <w:style w:type="character" w:customStyle="1" w:styleId="StopkaZnak">
    <w:name w:val="Stopka Znak"/>
    <w:link w:val="Stopka"/>
    <w:uiPriority w:val="99"/>
    <w:locked/>
    <w:rsid w:val="00EF5243"/>
    <w:rPr>
      <w:rFonts w:ascii="Trebuchet MS" w:hAnsi="Trebuchet MS" w:cs="Arial"/>
      <w:color w:val="000000"/>
    </w:rPr>
  </w:style>
  <w:style w:type="character" w:styleId="Hipercze">
    <w:name w:val="Hyperlink"/>
    <w:semiHidden/>
    <w:rsid w:val="00795027"/>
    <w:rPr>
      <w:rFonts w:cs="Times New Roman"/>
      <w:color w:val="0000FF"/>
      <w:u w:val="single"/>
    </w:rPr>
  </w:style>
  <w:style w:type="paragraph" w:styleId="Tekstdymka">
    <w:name w:val="Balloon Text"/>
    <w:basedOn w:val="Normalny"/>
    <w:link w:val="TekstdymkaZnak"/>
    <w:semiHidden/>
    <w:rsid w:val="007A0704"/>
    <w:rPr>
      <w:rFonts w:ascii="Tahoma" w:hAnsi="Tahoma" w:cs="Tahoma"/>
      <w:sz w:val="16"/>
      <w:szCs w:val="16"/>
    </w:rPr>
  </w:style>
  <w:style w:type="character" w:customStyle="1" w:styleId="TekstdymkaZnak">
    <w:name w:val="Tekst dymka Znak"/>
    <w:link w:val="Tekstdymka"/>
    <w:semiHidden/>
    <w:locked/>
    <w:rsid w:val="007A0704"/>
    <w:rPr>
      <w:rFonts w:ascii="Tahoma" w:hAnsi="Tahoma" w:cs="Tahoma"/>
      <w:color w:val="000000"/>
      <w:sz w:val="16"/>
      <w:szCs w:val="16"/>
    </w:rPr>
  </w:style>
  <w:style w:type="table" w:styleId="Tabela-Siatka">
    <w:name w:val="Table Grid"/>
    <w:basedOn w:val="Standardowy"/>
    <w:rsid w:val="005F63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odstpw1">
    <w:name w:val="Bez odstępów1"/>
    <w:link w:val="NoSpacingChar"/>
    <w:rsid w:val="006760B7"/>
    <w:rPr>
      <w:rFonts w:ascii="Calibri" w:hAnsi="Calibri"/>
      <w:sz w:val="22"/>
      <w:szCs w:val="22"/>
      <w:lang w:eastAsia="en-US"/>
    </w:rPr>
  </w:style>
  <w:style w:type="character" w:customStyle="1" w:styleId="NoSpacingChar">
    <w:name w:val="No Spacing Char"/>
    <w:link w:val="Bezodstpw1"/>
    <w:locked/>
    <w:rsid w:val="006760B7"/>
    <w:rPr>
      <w:rFonts w:ascii="Calibri" w:hAnsi="Calibri" w:cs="Times New Roman"/>
      <w:sz w:val="22"/>
      <w:szCs w:val="22"/>
      <w:lang w:val="pl-PL" w:eastAsia="en-US" w:bidi="ar-SA"/>
    </w:rPr>
  </w:style>
  <w:style w:type="paragraph" w:styleId="Tekstprzypisukocowego">
    <w:name w:val="endnote text"/>
    <w:basedOn w:val="Normalny"/>
    <w:link w:val="TekstprzypisukocowegoZnak"/>
    <w:semiHidden/>
    <w:rsid w:val="006A525A"/>
  </w:style>
  <w:style w:type="character" w:customStyle="1" w:styleId="TekstprzypisukocowegoZnak">
    <w:name w:val="Tekst przypisu końcowego Znak"/>
    <w:link w:val="Tekstprzypisukocowego"/>
    <w:semiHidden/>
    <w:locked/>
    <w:rsid w:val="006A525A"/>
    <w:rPr>
      <w:rFonts w:ascii="Trebuchet MS" w:hAnsi="Trebuchet MS" w:cs="Arial"/>
      <w:color w:val="000000"/>
    </w:rPr>
  </w:style>
  <w:style w:type="character" w:styleId="Odwoanieprzypisukocowego">
    <w:name w:val="endnote reference"/>
    <w:semiHidden/>
    <w:rsid w:val="006A525A"/>
    <w:rPr>
      <w:rFonts w:cs="Times New Roman"/>
      <w:vertAlign w:val="superscript"/>
    </w:rPr>
  </w:style>
  <w:style w:type="character" w:styleId="Odwoaniedokomentarza">
    <w:name w:val="annotation reference"/>
    <w:uiPriority w:val="99"/>
    <w:semiHidden/>
    <w:rsid w:val="003F5330"/>
    <w:rPr>
      <w:rFonts w:cs="Times New Roman"/>
      <w:sz w:val="16"/>
      <w:szCs w:val="16"/>
    </w:rPr>
  </w:style>
  <w:style w:type="paragraph" w:styleId="Tekstkomentarza">
    <w:name w:val="annotation text"/>
    <w:basedOn w:val="Normalny"/>
    <w:link w:val="TekstkomentarzaZnak"/>
    <w:semiHidden/>
    <w:rsid w:val="003F5330"/>
  </w:style>
  <w:style w:type="character" w:customStyle="1" w:styleId="TekstkomentarzaZnak">
    <w:name w:val="Tekst komentarza Znak"/>
    <w:link w:val="Tekstkomentarza"/>
    <w:semiHidden/>
    <w:locked/>
    <w:rsid w:val="00101394"/>
    <w:rPr>
      <w:rFonts w:ascii="Trebuchet MS" w:hAnsi="Trebuchet MS" w:cs="Arial"/>
      <w:color w:val="000000"/>
      <w:sz w:val="20"/>
      <w:szCs w:val="20"/>
    </w:rPr>
  </w:style>
  <w:style w:type="paragraph" w:styleId="Tematkomentarza">
    <w:name w:val="annotation subject"/>
    <w:basedOn w:val="Tekstkomentarza"/>
    <w:next w:val="Tekstkomentarza"/>
    <w:link w:val="TematkomentarzaZnak"/>
    <w:semiHidden/>
    <w:rsid w:val="003F5330"/>
    <w:rPr>
      <w:b/>
      <w:bCs/>
    </w:rPr>
  </w:style>
  <w:style w:type="character" w:customStyle="1" w:styleId="TematkomentarzaZnak">
    <w:name w:val="Temat komentarza Znak"/>
    <w:link w:val="Tematkomentarza"/>
    <w:semiHidden/>
    <w:locked/>
    <w:rsid w:val="00101394"/>
    <w:rPr>
      <w:rFonts w:ascii="Trebuchet MS" w:hAnsi="Trebuchet MS" w:cs="Arial"/>
      <w:b/>
      <w:bCs/>
      <w:color w:val="000000"/>
      <w:sz w:val="20"/>
      <w:szCs w:val="20"/>
    </w:rPr>
  </w:style>
  <w:style w:type="paragraph" w:styleId="NormalnyWeb">
    <w:name w:val="Normal (Web)"/>
    <w:basedOn w:val="Normalny"/>
    <w:uiPriority w:val="99"/>
    <w:unhideWhenUsed/>
    <w:rsid w:val="00913B29"/>
    <w:pPr>
      <w:spacing w:before="100" w:beforeAutospacing="1" w:after="100" w:afterAutospacing="1"/>
    </w:pPr>
    <w:rPr>
      <w:rFonts w:ascii="Times New Roman" w:eastAsiaTheme="minorEastAsia" w:hAnsi="Times New Roman" w:cs="Times New Roman"/>
      <w:color w:val="auto"/>
      <w:sz w:val="24"/>
      <w:szCs w:val="24"/>
    </w:rPr>
  </w:style>
  <w:style w:type="paragraph" w:styleId="Akapitzlist">
    <w:name w:val="List Paragraph"/>
    <w:basedOn w:val="Normalny"/>
    <w:uiPriority w:val="34"/>
    <w:qFormat/>
    <w:rsid w:val="00A216FF"/>
    <w:pPr>
      <w:ind w:left="720"/>
      <w:contextualSpacing/>
    </w:pPr>
  </w:style>
  <w:style w:type="paragraph" w:styleId="Podtytu">
    <w:name w:val="Subtitle"/>
    <w:basedOn w:val="Normalny"/>
    <w:next w:val="Normalny"/>
    <w:link w:val="PodtytuZnak"/>
    <w:qFormat/>
    <w:locked/>
    <w:rsid w:val="00C54D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C54DD9"/>
    <w:rPr>
      <w:rFonts w:asciiTheme="majorHAnsi" w:eastAsiaTheme="majorEastAsia" w:hAnsiTheme="majorHAnsi" w:cstheme="majorBidi"/>
      <w:i/>
      <w:iCs/>
      <w:color w:val="4F81BD" w:themeColor="accent1"/>
      <w:spacing w:val="15"/>
      <w:sz w:val="24"/>
      <w:szCs w:val="24"/>
    </w:rPr>
  </w:style>
  <w:style w:type="paragraph" w:styleId="Tekstpodstawowy">
    <w:name w:val="Body Text"/>
    <w:basedOn w:val="Normalny"/>
    <w:link w:val="TekstpodstawowyZnak"/>
    <w:semiHidden/>
    <w:unhideWhenUsed/>
    <w:rsid w:val="00626179"/>
    <w:pPr>
      <w:spacing w:after="120"/>
    </w:pPr>
  </w:style>
  <w:style w:type="character" w:customStyle="1" w:styleId="TekstpodstawowyZnak">
    <w:name w:val="Tekst podstawowy Znak"/>
    <w:basedOn w:val="Domylnaczcionkaakapitu"/>
    <w:link w:val="Tekstpodstawowy"/>
    <w:semiHidden/>
    <w:rsid w:val="00626179"/>
    <w:rPr>
      <w:rFonts w:ascii="Trebuchet MS" w:hAnsi="Trebuchet MS" w:cs="Arial"/>
      <w:color w:val="000000"/>
    </w:rPr>
  </w:style>
  <w:style w:type="paragraph" w:styleId="Tekstprzypisudolnego">
    <w:name w:val="footnote text"/>
    <w:basedOn w:val="Normalny"/>
    <w:link w:val="TekstprzypisudolnegoZnak"/>
    <w:uiPriority w:val="99"/>
    <w:rsid w:val="00626179"/>
    <w:rPr>
      <w:rFonts w:ascii="Times New Roman" w:eastAsia="MS Mincho" w:hAnsi="Times New Roman" w:cs="Times New Roman"/>
      <w:color w:val="auto"/>
      <w:lang w:eastAsia="ja-JP"/>
    </w:rPr>
  </w:style>
  <w:style w:type="character" w:customStyle="1" w:styleId="TekstprzypisudolnegoZnak">
    <w:name w:val="Tekst przypisu dolnego Znak"/>
    <w:basedOn w:val="Domylnaczcionkaakapitu"/>
    <w:link w:val="Tekstprzypisudolnego"/>
    <w:uiPriority w:val="99"/>
    <w:rsid w:val="00626179"/>
    <w:rPr>
      <w:rFonts w:eastAsia="MS Mincho"/>
      <w:lang w:eastAsia="ja-JP"/>
    </w:rPr>
  </w:style>
  <w:style w:type="character" w:styleId="Odwoanieprzypisudolnego">
    <w:name w:val="footnote reference"/>
    <w:uiPriority w:val="99"/>
    <w:rsid w:val="00626179"/>
    <w:rPr>
      <w:vertAlign w:val="superscript"/>
    </w:rPr>
  </w:style>
  <w:style w:type="character" w:styleId="Pogrubienie">
    <w:name w:val="Strong"/>
    <w:uiPriority w:val="22"/>
    <w:qFormat/>
    <w:locked/>
    <w:rsid w:val="00626179"/>
    <w:rPr>
      <w:b/>
      <w:bCs/>
    </w:rPr>
  </w:style>
  <w:style w:type="paragraph" w:styleId="Zwykytekst">
    <w:name w:val="Plain Text"/>
    <w:basedOn w:val="Normalny"/>
    <w:link w:val="ZwykytekstZnak"/>
    <w:uiPriority w:val="99"/>
    <w:semiHidden/>
    <w:unhideWhenUsed/>
    <w:rsid w:val="00A61B0E"/>
    <w:rPr>
      <w:rFonts w:ascii="Calibri" w:eastAsiaTheme="minorHAnsi" w:hAnsi="Calibri" w:cstheme="minorBidi"/>
      <w:color w:val="auto"/>
      <w:sz w:val="22"/>
      <w:szCs w:val="21"/>
      <w:lang w:eastAsia="en-US"/>
    </w:rPr>
  </w:style>
  <w:style w:type="character" w:customStyle="1" w:styleId="ZwykytekstZnak">
    <w:name w:val="Zwykły tekst Znak"/>
    <w:basedOn w:val="Domylnaczcionkaakapitu"/>
    <w:link w:val="Zwykytekst"/>
    <w:uiPriority w:val="99"/>
    <w:semiHidden/>
    <w:rsid w:val="00A61B0E"/>
    <w:rPr>
      <w:rFonts w:ascii="Calibri" w:eastAsiaTheme="minorHAnsi" w:hAnsi="Calibri" w:cstheme="minorBidi"/>
      <w:sz w:val="22"/>
      <w:szCs w:val="21"/>
      <w:lang w:eastAsia="en-US"/>
    </w:rPr>
  </w:style>
  <w:style w:type="character" w:styleId="Nierozpoznanawzmianka">
    <w:name w:val="Unresolved Mention"/>
    <w:basedOn w:val="Domylnaczcionkaakapitu"/>
    <w:uiPriority w:val="99"/>
    <w:semiHidden/>
    <w:unhideWhenUsed/>
    <w:rsid w:val="00F81F49"/>
    <w:rPr>
      <w:color w:val="605E5C"/>
      <w:shd w:val="clear" w:color="auto" w:fill="E1DFDD"/>
    </w:rPr>
  </w:style>
  <w:style w:type="character" w:styleId="Uwydatnienie">
    <w:name w:val="Emphasis"/>
    <w:basedOn w:val="Domylnaczcionkaakapitu"/>
    <w:uiPriority w:val="20"/>
    <w:qFormat/>
    <w:locked/>
    <w:rsid w:val="00735E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1981463">
      <w:bodyDiv w:val="1"/>
      <w:marLeft w:val="0"/>
      <w:marRight w:val="0"/>
      <w:marTop w:val="0"/>
      <w:marBottom w:val="0"/>
      <w:divBdr>
        <w:top w:val="none" w:sz="0" w:space="0" w:color="auto"/>
        <w:left w:val="none" w:sz="0" w:space="0" w:color="auto"/>
        <w:bottom w:val="none" w:sz="0" w:space="0" w:color="auto"/>
        <w:right w:val="none" w:sz="0" w:space="0" w:color="auto"/>
      </w:divBdr>
    </w:div>
    <w:div w:id="26031676">
      <w:bodyDiv w:val="1"/>
      <w:marLeft w:val="0"/>
      <w:marRight w:val="0"/>
      <w:marTop w:val="0"/>
      <w:marBottom w:val="0"/>
      <w:divBdr>
        <w:top w:val="none" w:sz="0" w:space="0" w:color="auto"/>
        <w:left w:val="none" w:sz="0" w:space="0" w:color="auto"/>
        <w:bottom w:val="none" w:sz="0" w:space="0" w:color="auto"/>
        <w:right w:val="none" w:sz="0" w:space="0" w:color="auto"/>
      </w:divBdr>
    </w:div>
    <w:div w:id="49690944">
      <w:bodyDiv w:val="1"/>
      <w:marLeft w:val="0"/>
      <w:marRight w:val="0"/>
      <w:marTop w:val="0"/>
      <w:marBottom w:val="0"/>
      <w:divBdr>
        <w:top w:val="none" w:sz="0" w:space="0" w:color="auto"/>
        <w:left w:val="none" w:sz="0" w:space="0" w:color="auto"/>
        <w:bottom w:val="none" w:sz="0" w:space="0" w:color="auto"/>
        <w:right w:val="none" w:sz="0" w:space="0" w:color="auto"/>
      </w:divBdr>
    </w:div>
    <w:div w:id="91901492">
      <w:bodyDiv w:val="1"/>
      <w:marLeft w:val="0"/>
      <w:marRight w:val="0"/>
      <w:marTop w:val="0"/>
      <w:marBottom w:val="0"/>
      <w:divBdr>
        <w:top w:val="none" w:sz="0" w:space="0" w:color="auto"/>
        <w:left w:val="none" w:sz="0" w:space="0" w:color="auto"/>
        <w:bottom w:val="none" w:sz="0" w:space="0" w:color="auto"/>
        <w:right w:val="none" w:sz="0" w:space="0" w:color="auto"/>
      </w:divBdr>
    </w:div>
    <w:div w:id="143863911">
      <w:bodyDiv w:val="1"/>
      <w:marLeft w:val="0"/>
      <w:marRight w:val="0"/>
      <w:marTop w:val="0"/>
      <w:marBottom w:val="0"/>
      <w:divBdr>
        <w:top w:val="none" w:sz="0" w:space="0" w:color="auto"/>
        <w:left w:val="none" w:sz="0" w:space="0" w:color="auto"/>
        <w:bottom w:val="none" w:sz="0" w:space="0" w:color="auto"/>
        <w:right w:val="none" w:sz="0" w:space="0" w:color="auto"/>
      </w:divBdr>
    </w:div>
    <w:div w:id="196361041">
      <w:bodyDiv w:val="1"/>
      <w:marLeft w:val="0"/>
      <w:marRight w:val="0"/>
      <w:marTop w:val="0"/>
      <w:marBottom w:val="0"/>
      <w:divBdr>
        <w:top w:val="none" w:sz="0" w:space="0" w:color="auto"/>
        <w:left w:val="none" w:sz="0" w:space="0" w:color="auto"/>
        <w:bottom w:val="none" w:sz="0" w:space="0" w:color="auto"/>
        <w:right w:val="none" w:sz="0" w:space="0" w:color="auto"/>
      </w:divBdr>
    </w:div>
    <w:div w:id="201131940">
      <w:bodyDiv w:val="1"/>
      <w:marLeft w:val="0"/>
      <w:marRight w:val="0"/>
      <w:marTop w:val="0"/>
      <w:marBottom w:val="0"/>
      <w:divBdr>
        <w:top w:val="none" w:sz="0" w:space="0" w:color="auto"/>
        <w:left w:val="none" w:sz="0" w:space="0" w:color="auto"/>
        <w:bottom w:val="none" w:sz="0" w:space="0" w:color="auto"/>
        <w:right w:val="none" w:sz="0" w:space="0" w:color="auto"/>
      </w:divBdr>
    </w:div>
    <w:div w:id="207882999">
      <w:bodyDiv w:val="1"/>
      <w:marLeft w:val="0"/>
      <w:marRight w:val="0"/>
      <w:marTop w:val="0"/>
      <w:marBottom w:val="0"/>
      <w:divBdr>
        <w:top w:val="none" w:sz="0" w:space="0" w:color="auto"/>
        <w:left w:val="none" w:sz="0" w:space="0" w:color="auto"/>
        <w:bottom w:val="none" w:sz="0" w:space="0" w:color="auto"/>
        <w:right w:val="none" w:sz="0" w:space="0" w:color="auto"/>
      </w:divBdr>
    </w:div>
    <w:div w:id="215094061">
      <w:bodyDiv w:val="1"/>
      <w:marLeft w:val="0"/>
      <w:marRight w:val="0"/>
      <w:marTop w:val="0"/>
      <w:marBottom w:val="0"/>
      <w:divBdr>
        <w:top w:val="none" w:sz="0" w:space="0" w:color="auto"/>
        <w:left w:val="none" w:sz="0" w:space="0" w:color="auto"/>
        <w:bottom w:val="none" w:sz="0" w:space="0" w:color="auto"/>
        <w:right w:val="none" w:sz="0" w:space="0" w:color="auto"/>
      </w:divBdr>
    </w:div>
    <w:div w:id="239608129">
      <w:bodyDiv w:val="1"/>
      <w:marLeft w:val="0"/>
      <w:marRight w:val="0"/>
      <w:marTop w:val="0"/>
      <w:marBottom w:val="0"/>
      <w:divBdr>
        <w:top w:val="none" w:sz="0" w:space="0" w:color="auto"/>
        <w:left w:val="none" w:sz="0" w:space="0" w:color="auto"/>
        <w:bottom w:val="none" w:sz="0" w:space="0" w:color="auto"/>
        <w:right w:val="none" w:sz="0" w:space="0" w:color="auto"/>
      </w:divBdr>
    </w:div>
    <w:div w:id="286930928">
      <w:bodyDiv w:val="1"/>
      <w:marLeft w:val="0"/>
      <w:marRight w:val="0"/>
      <w:marTop w:val="0"/>
      <w:marBottom w:val="0"/>
      <w:divBdr>
        <w:top w:val="none" w:sz="0" w:space="0" w:color="auto"/>
        <w:left w:val="none" w:sz="0" w:space="0" w:color="auto"/>
        <w:bottom w:val="none" w:sz="0" w:space="0" w:color="auto"/>
        <w:right w:val="none" w:sz="0" w:space="0" w:color="auto"/>
      </w:divBdr>
    </w:div>
    <w:div w:id="399402580">
      <w:bodyDiv w:val="1"/>
      <w:marLeft w:val="0"/>
      <w:marRight w:val="0"/>
      <w:marTop w:val="0"/>
      <w:marBottom w:val="0"/>
      <w:divBdr>
        <w:top w:val="none" w:sz="0" w:space="0" w:color="auto"/>
        <w:left w:val="none" w:sz="0" w:space="0" w:color="auto"/>
        <w:bottom w:val="none" w:sz="0" w:space="0" w:color="auto"/>
        <w:right w:val="none" w:sz="0" w:space="0" w:color="auto"/>
      </w:divBdr>
    </w:div>
    <w:div w:id="564418100">
      <w:bodyDiv w:val="1"/>
      <w:marLeft w:val="0"/>
      <w:marRight w:val="0"/>
      <w:marTop w:val="0"/>
      <w:marBottom w:val="0"/>
      <w:divBdr>
        <w:top w:val="none" w:sz="0" w:space="0" w:color="auto"/>
        <w:left w:val="none" w:sz="0" w:space="0" w:color="auto"/>
        <w:bottom w:val="none" w:sz="0" w:space="0" w:color="auto"/>
        <w:right w:val="none" w:sz="0" w:space="0" w:color="auto"/>
      </w:divBdr>
    </w:div>
    <w:div w:id="619067511">
      <w:bodyDiv w:val="1"/>
      <w:marLeft w:val="0"/>
      <w:marRight w:val="0"/>
      <w:marTop w:val="0"/>
      <w:marBottom w:val="0"/>
      <w:divBdr>
        <w:top w:val="none" w:sz="0" w:space="0" w:color="auto"/>
        <w:left w:val="none" w:sz="0" w:space="0" w:color="auto"/>
        <w:bottom w:val="none" w:sz="0" w:space="0" w:color="auto"/>
        <w:right w:val="none" w:sz="0" w:space="0" w:color="auto"/>
      </w:divBdr>
    </w:div>
    <w:div w:id="664164510">
      <w:bodyDiv w:val="1"/>
      <w:marLeft w:val="0"/>
      <w:marRight w:val="0"/>
      <w:marTop w:val="0"/>
      <w:marBottom w:val="0"/>
      <w:divBdr>
        <w:top w:val="none" w:sz="0" w:space="0" w:color="auto"/>
        <w:left w:val="none" w:sz="0" w:space="0" w:color="auto"/>
        <w:bottom w:val="none" w:sz="0" w:space="0" w:color="auto"/>
        <w:right w:val="none" w:sz="0" w:space="0" w:color="auto"/>
      </w:divBdr>
    </w:div>
    <w:div w:id="762461279">
      <w:bodyDiv w:val="1"/>
      <w:marLeft w:val="0"/>
      <w:marRight w:val="0"/>
      <w:marTop w:val="0"/>
      <w:marBottom w:val="0"/>
      <w:divBdr>
        <w:top w:val="none" w:sz="0" w:space="0" w:color="auto"/>
        <w:left w:val="none" w:sz="0" w:space="0" w:color="auto"/>
        <w:bottom w:val="none" w:sz="0" w:space="0" w:color="auto"/>
        <w:right w:val="none" w:sz="0" w:space="0" w:color="auto"/>
      </w:divBdr>
    </w:div>
    <w:div w:id="768623617">
      <w:bodyDiv w:val="1"/>
      <w:marLeft w:val="0"/>
      <w:marRight w:val="0"/>
      <w:marTop w:val="0"/>
      <w:marBottom w:val="0"/>
      <w:divBdr>
        <w:top w:val="none" w:sz="0" w:space="0" w:color="auto"/>
        <w:left w:val="none" w:sz="0" w:space="0" w:color="auto"/>
        <w:bottom w:val="none" w:sz="0" w:space="0" w:color="auto"/>
        <w:right w:val="none" w:sz="0" w:space="0" w:color="auto"/>
      </w:divBdr>
    </w:div>
    <w:div w:id="896429955">
      <w:bodyDiv w:val="1"/>
      <w:marLeft w:val="0"/>
      <w:marRight w:val="0"/>
      <w:marTop w:val="0"/>
      <w:marBottom w:val="0"/>
      <w:divBdr>
        <w:top w:val="none" w:sz="0" w:space="0" w:color="auto"/>
        <w:left w:val="none" w:sz="0" w:space="0" w:color="auto"/>
        <w:bottom w:val="none" w:sz="0" w:space="0" w:color="auto"/>
        <w:right w:val="none" w:sz="0" w:space="0" w:color="auto"/>
      </w:divBdr>
    </w:div>
    <w:div w:id="902526517">
      <w:bodyDiv w:val="1"/>
      <w:marLeft w:val="0"/>
      <w:marRight w:val="0"/>
      <w:marTop w:val="0"/>
      <w:marBottom w:val="0"/>
      <w:divBdr>
        <w:top w:val="none" w:sz="0" w:space="0" w:color="auto"/>
        <w:left w:val="none" w:sz="0" w:space="0" w:color="auto"/>
        <w:bottom w:val="none" w:sz="0" w:space="0" w:color="auto"/>
        <w:right w:val="none" w:sz="0" w:space="0" w:color="auto"/>
      </w:divBdr>
    </w:div>
    <w:div w:id="1188442418">
      <w:bodyDiv w:val="1"/>
      <w:marLeft w:val="0"/>
      <w:marRight w:val="0"/>
      <w:marTop w:val="0"/>
      <w:marBottom w:val="0"/>
      <w:divBdr>
        <w:top w:val="none" w:sz="0" w:space="0" w:color="auto"/>
        <w:left w:val="none" w:sz="0" w:space="0" w:color="auto"/>
        <w:bottom w:val="none" w:sz="0" w:space="0" w:color="auto"/>
        <w:right w:val="none" w:sz="0" w:space="0" w:color="auto"/>
      </w:divBdr>
    </w:div>
    <w:div w:id="1190337476">
      <w:bodyDiv w:val="1"/>
      <w:marLeft w:val="0"/>
      <w:marRight w:val="0"/>
      <w:marTop w:val="0"/>
      <w:marBottom w:val="0"/>
      <w:divBdr>
        <w:top w:val="none" w:sz="0" w:space="0" w:color="auto"/>
        <w:left w:val="none" w:sz="0" w:space="0" w:color="auto"/>
        <w:bottom w:val="none" w:sz="0" w:space="0" w:color="auto"/>
        <w:right w:val="none" w:sz="0" w:space="0" w:color="auto"/>
      </w:divBdr>
    </w:div>
    <w:div w:id="1193571626">
      <w:bodyDiv w:val="1"/>
      <w:marLeft w:val="0"/>
      <w:marRight w:val="0"/>
      <w:marTop w:val="0"/>
      <w:marBottom w:val="0"/>
      <w:divBdr>
        <w:top w:val="none" w:sz="0" w:space="0" w:color="auto"/>
        <w:left w:val="none" w:sz="0" w:space="0" w:color="auto"/>
        <w:bottom w:val="none" w:sz="0" w:space="0" w:color="auto"/>
        <w:right w:val="none" w:sz="0" w:space="0" w:color="auto"/>
      </w:divBdr>
    </w:div>
    <w:div w:id="1208646264">
      <w:bodyDiv w:val="1"/>
      <w:marLeft w:val="0"/>
      <w:marRight w:val="0"/>
      <w:marTop w:val="0"/>
      <w:marBottom w:val="0"/>
      <w:divBdr>
        <w:top w:val="none" w:sz="0" w:space="0" w:color="auto"/>
        <w:left w:val="none" w:sz="0" w:space="0" w:color="auto"/>
        <w:bottom w:val="none" w:sz="0" w:space="0" w:color="auto"/>
        <w:right w:val="none" w:sz="0" w:space="0" w:color="auto"/>
      </w:divBdr>
    </w:div>
    <w:div w:id="1361122498">
      <w:bodyDiv w:val="1"/>
      <w:marLeft w:val="0"/>
      <w:marRight w:val="0"/>
      <w:marTop w:val="0"/>
      <w:marBottom w:val="0"/>
      <w:divBdr>
        <w:top w:val="none" w:sz="0" w:space="0" w:color="auto"/>
        <w:left w:val="none" w:sz="0" w:space="0" w:color="auto"/>
        <w:bottom w:val="none" w:sz="0" w:space="0" w:color="auto"/>
        <w:right w:val="none" w:sz="0" w:space="0" w:color="auto"/>
      </w:divBdr>
    </w:div>
    <w:div w:id="1383750364">
      <w:bodyDiv w:val="1"/>
      <w:marLeft w:val="0"/>
      <w:marRight w:val="0"/>
      <w:marTop w:val="0"/>
      <w:marBottom w:val="0"/>
      <w:divBdr>
        <w:top w:val="none" w:sz="0" w:space="0" w:color="auto"/>
        <w:left w:val="none" w:sz="0" w:space="0" w:color="auto"/>
        <w:bottom w:val="none" w:sz="0" w:space="0" w:color="auto"/>
        <w:right w:val="none" w:sz="0" w:space="0" w:color="auto"/>
      </w:divBdr>
    </w:div>
    <w:div w:id="1746564228">
      <w:bodyDiv w:val="1"/>
      <w:marLeft w:val="0"/>
      <w:marRight w:val="0"/>
      <w:marTop w:val="0"/>
      <w:marBottom w:val="0"/>
      <w:divBdr>
        <w:top w:val="none" w:sz="0" w:space="0" w:color="auto"/>
        <w:left w:val="none" w:sz="0" w:space="0" w:color="auto"/>
        <w:bottom w:val="none" w:sz="0" w:space="0" w:color="auto"/>
        <w:right w:val="none" w:sz="0" w:space="0" w:color="auto"/>
      </w:divBdr>
    </w:div>
    <w:div w:id="1834370161">
      <w:bodyDiv w:val="1"/>
      <w:marLeft w:val="0"/>
      <w:marRight w:val="0"/>
      <w:marTop w:val="0"/>
      <w:marBottom w:val="0"/>
      <w:divBdr>
        <w:top w:val="none" w:sz="0" w:space="0" w:color="auto"/>
        <w:left w:val="none" w:sz="0" w:space="0" w:color="auto"/>
        <w:bottom w:val="none" w:sz="0" w:space="0" w:color="auto"/>
        <w:right w:val="none" w:sz="0" w:space="0" w:color="auto"/>
      </w:divBdr>
    </w:div>
    <w:div w:id="1956249675">
      <w:bodyDiv w:val="1"/>
      <w:marLeft w:val="0"/>
      <w:marRight w:val="0"/>
      <w:marTop w:val="0"/>
      <w:marBottom w:val="0"/>
      <w:divBdr>
        <w:top w:val="none" w:sz="0" w:space="0" w:color="auto"/>
        <w:left w:val="none" w:sz="0" w:space="0" w:color="auto"/>
        <w:bottom w:val="none" w:sz="0" w:space="0" w:color="auto"/>
        <w:right w:val="none" w:sz="0" w:space="0" w:color="auto"/>
      </w:divBdr>
    </w:div>
    <w:div w:id="19989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y.com/pl_pl/forensic-integrity-servic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y.com/pl_pl/people/mariusz-witali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inkedin.com/company/zp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727A50648376C43A414D43F74F01924" ma:contentTypeVersion="2" ma:contentTypeDescription="Utwórz nowy dokument." ma:contentTypeScope="" ma:versionID="8b8952551c9abdde30d92d487fbc6b25">
  <xsd:schema xmlns:xsd="http://www.w3.org/2001/XMLSchema" xmlns:xs="http://www.w3.org/2001/XMLSchema" xmlns:p="http://schemas.microsoft.com/office/2006/metadata/properties" xmlns:ns2="7461709f-0f2e-48e8-b059-5912730bec9d" targetNamespace="http://schemas.microsoft.com/office/2006/metadata/properties" ma:root="true" ma:fieldsID="6e632a73da9e0e46f24b92e51756e646" ns2:_="">
    <xsd:import namespace="7461709f-0f2e-48e8-b059-5912730bec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1709f-0f2e-48e8-b059-5912730be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10218-85CC-4F40-8CF2-AB3CB1117C3D}">
  <ds:schemaRefs>
    <ds:schemaRef ds:uri="http://schemas.openxmlformats.org/officeDocument/2006/bibliography"/>
  </ds:schemaRefs>
</ds:datastoreItem>
</file>

<file path=customXml/itemProps2.xml><?xml version="1.0" encoding="utf-8"?>
<ds:datastoreItem xmlns:ds="http://schemas.openxmlformats.org/officeDocument/2006/customXml" ds:itemID="{81682AB3-6677-4944-9581-01ABE4B2F969}">
  <ds:schemaRefs>
    <ds:schemaRef ds:uri="http://schemas.microsoft.com/sharepoint/v3/contenttype/forms"/>
  </ds:schemaRefs>
</ds:datastoreItem>
</file>

<file path=customXml/itemProps3.xml><?xml version="1.0" encoding="utf-8"?>
<ds:datastoreItem xmlns:ds="http://schemas.openxmlformats.org/officeDocument/2006/customXml" ds:itemID="{E83A9627-CFB8-4923-BDE6-22939A836F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5218BF-E15C-4F40-98E1-1B818F081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1709f-0f2e-48e8-b059-5912730b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1691</Words>
  <Characters>10147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jakość zobowiązań                                     polskich przedsiębiorstw</vt:lpstr>
    </vt:vector>
  </TitlesOfParts>
  <Company>KPF</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jakość zobowiązań                                     polskich przedsiębiorstw</dc:title>
  <dc:creator>Andrzej Roter</dc:creator>
  <cp:lastModifiedBy>Małgorzata Niemsowicz</cp:lastModifiedBy>
  <cp:revision>2</cp:revision>
  <cp:lastPrinted>2020-05-13T19:23:00Z</cp:lastPrinted>
  <dcterms:created xsi:type="dcterms:W3CDTF">2021-11-04T10:18:00Z</dcterms:created>
  <dcterms:modified xsi:type="dcterms:W3CDTF">2021-11-04T10:18:00Z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0x010100A727A50648376C43A414D43F74F01924</vt:lpwstr>
  </property>
</Properties>
</file>